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94A32" w14:textId="0ABCF66C" w:rsidR="009604BE" w:rsidRPr="002660BC" w:rsidRDefault="009604BE" w:rsidP="00F412A7">
      <w:pPr>
        <w:pStyle w:val="afe"/>
        <w:rPr>
          <w:i/>
          <w:iCs/>
          <w:sz w:val="22"/>
          <w:szCs w:val="22"/>
        </w:rPr>
      </w:pPr>
      <w:bookmarkStart w:id="0" w:name="_Hlk132900185"/>
      <w:r w:rsidRPr="002660BC">
        <w:rPr>
          <w:rFonts w:eastAsia="宋体"/>
        </w:rPr>
        <w:t>Supplementary material</w:t>
      </w:r>
      <w:bookmarkEnd w:id="0"/>
    </w:p>
    <w:p w14:paraId="22E08CB9" w14:textId="77777777" w:rsidR="00F412A7" w:rsidRPr="002660BC" w:rsidRDefault="00F412A7" w:rsidP="00B25ACE">
      <w:pPr>
        <w:ind w:firstLine="420"/>
      </w:pPr>
    </w:p>
    <w:p w14:paraId="6B6C9DB7" w14:textId="0F606417" w:rsidR="00CC1040" w:rsidRPr="002660BC" w:rsidRDefault="00B25ACE" w:rsidP="00235B1F">
      <w:pPr>
        <w:pStyle w:val="1"/>
      </w:pPr>
      <w:r w:rsidRPr="002660BC">
        <w:t xml:space="preserve">Supplementary material </w:t>
      </w:r>
      <w:r w:rsidR="000B4BF8" w:rsidRPr="002660BC">
        <w:t>1. ANCOVA assumption diagnostics</w:t>
      </w:r>
    </w:p>
    <w:p w14:paraId="40EB5A1C" w14:textId="1B760DAA" w:rsidR="00CC1040" w:rsidRPr="002660BC" w:rsidRDefault="000B4BF8" w:rsidP="005B5204">
      <w:pPr>
        <w:ind w:firstLine="420"/>
      </w:pPr>
      <w:r w:rsidRPr="002660BC">
        <w:t>Analysis of covariance (ANCOVA) was used to address the significant baseline ΔE imbalance between groups. The parametric assumptions of ANCOVA apply to the model residuals, not to the raw outcome distribution. All assumptions were verified prior to inference (</w:t>
      </w:r>
      <w:r w:rsidRPr="002660BC">
        <w:rPr>
          <w:b/>
          <w:bCs/>
        </w:rPr>
        <w:t>Supplementary Table 1</w:t>
      </w:r>
      <w:r w:rsidRPr="002660BC">
        <w:t>).</w:t>
      </w:r>
    </w:p>
    <w:p w14:paraId="1FECBBEA" w14:textId="760ACEF1" w:rsidR="00CC1040" w:rsidRPr="002660BC" w:rsidRDefault="00B25ACE" w:rsidP="00B25ACE">
      <w:pPr>
        <w:pStyle w:val="af0"/>
      </w:pPr>
      <w:r w:rsidRPr="002660BC">
        <w:rPr>
          <w:bCs/>
        </w:rPr>
        <w:t xml:space="preserve">Supplementary Table </w:t>
      </w:r>
      <w:r w:rsidR="000B4BF8" w:rsidRPr="002660BC">
        <w:rPr>
          <w:bCs/>
        </w:rPr>
        <w:t xml:space="preserve">1. </w:t>
      </w:r>
      <w:r w:rsidR="000B4BF8" w:rsidRPr="002660BC">
        <w:t>ANCOVA assumption diagnostics.</w:t>
      </w:r>
    </w:p>
    <w:tbl>
      <w:tblPr>
        <w:tblStyle w:val="afd"/>
        <w:tblW w:w="5000" w:type="pct"/>
        <w:jc w:val="center"/>
        <w:tblLook w:val="04A0" w:firstRow="1" w:lastRow="0" w:firstColumn="1" w:lastColumn="0" w:noHBand="0" w:noVBand="1"/>
      </w:tblPr>
      <w:tblGrid>
        <w:gridCol w:w="3823"/>
        <w:gridCol w:w="2834"/>
        <w:gridCol w:w="2693"/>
        <w:gridCol w:w="896"/>
      </w:tblGrid>
      <w:tr w:rsidR="002660BC" w:rsidRPr="002660BC" w14:paraId="44ECC067" w14:textId="77777777" w:rsidTr="005F78D5">
        <w:trPr>
          <w:trHeight w:val="283"/>
          <w:jc w:val="center"/>
        </w:trPr>
        <w:tc>
          <w:tcPr>
            <w:tcW w:w="1866" w:type="pct"/>
            <w:vAlign w:val="center"/>
          </w:tcPr>
          <w:p w14:paraId="57F1CE62" w14:textId="77777777" w:rsidR="00CC1040" w:rsidRPr="002660BC" w:rsidRDefault="000B4BF8" w:rsidP="00235B1F">
            <w:pPr>
              <w:ind w:firstLineChars="0" w:firstLine="0"/>
              <w:jc w:val="left"/>
            </w:pPr>
            <w:r w:rsidRPr="002660BC">
              <w:rPr>
                <w:rFonts w:ascii="Times New Roman" w:hAnsi="Times New Roman"/>
              </w:rPr>
              <w:t>Assumption</w:t>
            </w:r>
          </w:p>
        </w:tc>
        <w:tc>
          <w:tcPr>
            <w:tcW w:w="1383" w:type="pct"/>
            <w:vAlign w:val="center"/>
          </w:tcPr>
          <w:p w14:paraId="72875F4A" w14:textId="77777777" w:rsidR="00CC1040" w:rsidRPr="002660BC" w:rsidRDefault="000B4BF8" w:rsidP="005B5204">
            <w:pPr>
              <w:ind w:firstLineChars="0" w:firstLine="0"/>
              <w:jc w:val="center"/>
            </w:pPr>
            <w:r w:rsidRPr="002660BC">
              <w:rPr>
                <w:rFonts w:ascii="Times New Roman" w:hAnsi="Times New Roman"/>
              </w:rPr>
              <w:t>Test</w:t>
            </w:r>
          </w:p>
        </w:tc>
        <w:tc>
          <w:tcPr>
            <w:tcW w:w="1314" w:type="pct"/>
            <w:vAlign w:val="center"/>
          </w:tcPr>
          <w:p w14:paraId="4E5F83FB" w14:textId="77777777" w:rsidR="00CC1040" w:rsidRPr="002660BC" w:rsidRDefault="000B4BF8" w:rsidP="005B5204">
            <w:pPr>
              <w:ind w:firstLineChars="0" w:firstLine="0"/>
              <w:jc w:val="center"/>
            </w:pPr>
            <w:r w:rsidRPr="002660BC">
              <w:rPr>
                <w:rFonts w:ascii="Times New Roman" w:hAnsi="Times New Roman"/>
              </w:rPr>
              <w:t>Test statistic</w:t>
            </w:r>
          </w:p>
        </w:tc>
        <w:tc>
          <w:tcPr>
            <w:tcW w:w="437" w:type="pct"/>
            <w:vAlign w:val="center"/>
          </w:tcPr>
          <w:p w14:paraId="415715D1" w14:textId="77777777" w:rsidR="00CC1040" w:rsidRPr="002660BC" w:rsidRDefault="000B4BF8" w:rsidP="005B5204">
            <w:pPr>
              <w:ind w:firstLineChars="0" w:firstLine="0"/>
              <w:jc w:val="center"/>
            </w:pPr>
            <w:r w:rsidRPr="002660BC">
              <w:rPr>
                <w:rFonts w:ascii="Times New Roman" w:hAnsi="Times New Roman"/>
              </w:rPr>
              <w:t>Result</w:t>
            </w:r>
          </w:p>
        </w:tc>
      </w:tr>
      <w:tr w:rsidR="002660BC" w:rsidRPr="002660BC" w14:paraId="5A4456E5" w14:textId="77777777" w:rsidTr="005F78D5">
        <w:trPr>
          <w:trHeight w:val="283"/>
          <w:jc w:val="center"/>
        </w:trPr>
        <w:tc>
          <w:tcPr>
            <w:tcW w:w="1866" w:type="pct"/>
            <w:vAlign w:val="center"/>
          </w:tcPr>
          <w:p w14:paraId="499E0237" w14:textId="77777777" w:rsidR="00CC1040" w:rsidRPr="002660BC" w:rsidRDefault="000B4BF8" w:rsidP="00235B1F">
            <w:pPr>
              <w:ind w:firstLineChars="0" w:firstLine="0"/>
              <w:jc w:val="left"/>
            </w:pPr>
            <w:r w:rsidRPr="002660BC">
              <w:rPr>
                <w:rFonts w:ascii="Times New Roman" w:hAnsi="Times New Roman"/>
              </w:rPr>
              <w:t>Normality of standardized residuals</w:t>
            </w:r>
          </w:p>
        </w:tc>
        <w:tc>
          <w:tcPr>
            <w:tcW w:w="1383" w:type="pct"/>
            <w:vAlign w:val="center"/>
          </w:tcPr>
          <w:p w14:paraId="4DC7C6CE" w14:textId="7841435B" w:rsidR="00CC1040" w:rsidRPr="002660BC" w:rsidRDefault="000B4BF8" w:rsidP="005B5204">
            <w:pPr>
              <w:ind w:firstLineChars="0" w:firstLine="0"/>
              <w:jc w:val="center"/>
            </w:pPr>
            <w:r w:rsidRPr="002660BC">
              <w:rPr>
                <w:rFonts w:ascii="Times New Roman" w:hAnsi="Times New Roman"/>
              </w:rPr>
              <w:t>Shapiro</w:t>
            </w:r>
            <w:r w:rsidR="005F78D5" w:rsidRPr="002660BC">
              <w:rPr>
                <w:rFonts w:ascii="Times New Roman" w:hAnsi="Times New Roman"/>
              </w:rPr>
              <w:t>-</w:t>
            </w:r>
            <w:r w:rsidRPr="002660BC">
              <w:rPr>
                <w:rFonts w:ascii="Times New Roman" w:hAnsi="Times New Roman"/>
              </w:rPr>
              <w:t>Wilk</w:t>
            </w:r>
          </w:p>
        </w:tc>
        <w:tc>
          <w:tcPr>
            <w:tcW w:w="1314" w:type="pct"/>
            <w:vAlign w:val="center"/>
          </w:tcPr>
          <w:p w14:paraId="0422A9FA" w14:textId="77777777" w:rsidR="00CC1040" w:rsidRPr="002660BC" w:rsidRDefault="000B4BF8" w:rsidP="005B5204">
            <w:pPr>
              <w:ind w:firstLineChars="0" w:firstLine="0"/>
              <w:jc w:val="center"/>
            </w:pPr>
            <w:r w:rsidRPr="002660BC">
              <w:rPr>
                <w:rFonts w:ascii="Times New Roman" w:hAnsi="Times New Roman"/>
                <w:i/>
                <w:iCs/>
              </w:rPr>
              <w:t>W</w:t>
            </w:r>
            <w:r w:rsidRPr="002660BC">
              <w:rPr>
                <w:rFonts w:ascii="Times New Roman" w:hAnsi="Times New Roman"/>
              </w:rPr>
              <w:t xml:space="preserve"> = 0.987, </w:t>
            </w:r>
            <w:r w:rsidRPr="002660BC">
              <w:rPr>
                <w:rFonts w:ascii="Times New Roman" w:hAnsi="Times New Roman"/>
                <w:i/>
                <w:iCs/>
              </w:rPr>
              <w:t>p</w:t>
            </w:r>
            <w:r w:rsidRPr="002660BC">
              <w:rPr>
                <w:rFonts w:ascii="Times New Roman" w:hAnsi="Times New Roman"/>
              </w:rPr>
              <w:t xml:space="preserve"> = 0.183</w:t>
            </w:r>
          </w:p>
        </w:tc>
        <w:tc>
          <w:tcPr>
            <w:tcW w:w="437" w:type="pct"/>
            <w:vAlign w:val="center"/>
          </w:tcPr>
          <w:p w14:paraId="40DF86D4" w14:textId="77777777" w:rsidR="00CC1040" w:rsidRPr="002660BC" w:rsidRDefault="000B4BF8" w:rsidP="005B5204">
            <w:pPr>
              <w:ind w:firstLineChars="0" w:firstLine="0"/>
              <w:jc w:val="center"/>
            </w:pPr>
            <w:r w:rsidRPr="002660BC">
              <w:rPr>
                <w:rFonts w:ascii="Times New Roman" w:hAnsi="Times New Roman"/>
              </w:rPr>
              <w:t>Met</w:t>
            </w:r>
          </w:p>
        </w:tc>
      </w:tr>
      <w:tr w:rsidR="002660BC" w:rsidRPr="002660BC" w14:paraId="546EB4F4" w14:textId="77777777" w:rsidTr="005F78D5">
        <w:trPr>
          <w:trHeight w:val="283"/>
          <w:jc w:val="center"/>
        </w:trPr>
        <w:tc>
          <w:tcPr>
            <w:tcW w:w="1866" w:type="pct"/>
            <w:vAlign w:val="center"/>
          </w:tcPr>
          <w:p w14:paraId="0AC66DE8" w14:textId="77777777" w:rsidR="00CC1040" w:rsidRPr="002660BC" w:rsidRDefault="000B4BF8" w:rsidP="00235B1F">
            <w:pPr>
              <w:ind w:firstLineChars="0" w:firstLine="0"/>
              <w:jc w:val="left"/>
            </w:pPr>
            <w:r w:rsidRPr="002660BC">
              <w:rPr>
                <w:rFonts w:ascii="Times New Roman" w:hAnsi="Times New Roman"/>
              </w:rPr>
              <w:t>No outliers</w:t>
            </w:r>
          </w:p>
        </w:tc>
        <w:tc>
          <w:tcPr>
            <w:tcW w:w="1383" w:type="pct"/>
            <w:vAlign w:val="center"/>
          </w:tcPr>
          <w:p w14:paraId="7973012B" w14:textId="77777777" w:rsidR="00CC1040" w:rsidRPr="002660BC" w:rsidRDefault="000B4BF8" w:rsidP="005B5204">
            <w:pPr>
              <w:ind w:firstLineChars="0" w:firstLine="0"/>
              <w:jc w:val="center"/>
            </w:pPr>
            <w:r w:rsidRPr="002660BC">
              <w:rPr>
                <w:rFonts w:ascii="Times New Roman" w:hAnsi="Times New Roman"/>
              </w:rPr>
              <w:t>Standardized residuals</w:t>
            </w:r>
          </w:p>
        </w:tc>
        <w:tc>
          <w:tcPr>
            <w:tcW w:w="1314" w:type="pct"/>
            <w:vAlign w:val="center"/>
          </w:tcPr>
          <w:p w14:paraId="4C00CF0C" w14:textId="77777777" w:rsidR="00CC1040" w:rsidRPr="002660BC" w:rsidRDefault="000B4BF8" w:rsidP="005B5204">
            <w:pPr>
              <w:ind w:firstLineChars="0" w:firstLine="0"/>
              <w:jc w:val="center"/>
            </w:pPr>
            <w:r w:rsidRPr="002660BC">
              <w:rPr>
                <w:rFonts w:ascii="Times New Roman" w:hAnsi="Times New Roman"/>
              </w:rPr>
              <w:t>No |z| &gt; 2.5</w:t>
            </w:r>
          </w:p>
        </w:tc>
        <w:tc>
          <w:tcPr>
            <w:tcW w:w="437" w:type="pct"/>
            <w:vAlign w:val="center"/>
          </w:tcPr>
          <w:p w14:paraId="5613E616" w14:textId="77777777" w:rsidR="00CC1040" w:rsidRPr="002660BC" w:rsidRDefault="000B4BF8" w:rsidP="005B5204">
            <w:pPr>
              <w:ind w:firstLineChars="0" w:firstLine="0"/>
              <w:jc w:val="center"/>
            </w:pPr>
            <w:r w:rsidRPr="002660BC">
              <w:rPr>
                <w:rFonts w:ascii="Times New Roman" w:hAnsi="Times New Roman"/>
              </w:rPr>
              <w:t>Met</w:t>
            </w:r>
          </w:p>
        </w:tc>
      </w:tr>
      <w:tr w:rsidR="002660BC" w:rsidRPr="002660BC" w14:paraId="61ACC8CA" w14:textId="77777777" w:rsidTr="005F78D5">
        <w:trPr>
          <w:trHeight w:val="283"/>
          <w:jc w:val="center"/>
        </w:trPr>
        <w:tc>
          <w:tcPr>
            <w:tcW w:w="1866" w:type="pct"/>
            <w:vAlign w:val="center"/>
          </w:tcPr>
          <w:p w14:paraId="3620E21D" w14:textId="77777777" w:rsidR="00CC1040" w:rsidRPr="002660BC" w:rsidRDefault="000B4BF8" w:rsidP="00235B1F">
            <w:pPr>
              <w:ind w:firstLineChars="0" w:firstLine="0"/>
              <w:jc w:val="left"/>
            </w:pPr>
            <w:r w:rsidRPr="002660BC">
              <w:rPr>
                <w:rFonts w:ascii="Times New Roman" w:hAnsi="Times New Roman"/>
              </w:rPr>
              <w:t>Linearity (covariate × dependent variable)</w:t>
            </w:r>
          </w:p>
        </w:tc>
        <w:tc>
          <w:tcPr>
            <w:tcW w:w="1383" w:type="pct"/>
            <w:vAlign w:val="center"/>
          </w:tcPr>
          <w:p w14:paraId="268F3479" w14:textId="77777777" w:rsidR="00CC1040" w:rsidRPr="002660BC" w:rsidRDefault="000B4BF8" w:rsidP="005B5204">
            <w:pPr>
              <w:ind w:firstLineChars="0" w:firstLine="0"/>
              <w:jc w:val="center"/>
            </w:pPr>
            <w:r w:rsidRPr="002660BC">
              <w:rPr>
                <w:rFonts w:ascii="Times New Roman" w:hAnsi="Times New Roman"/>
              </w:rPr>
              <w:t>Q–Q plot inspection</w:t>
            </w:r>
          </w:p>
        </w:tc>
        <w:tc>
          <w:tcPr>
            <w:tcW w:w="1314" w:type="pct"/>
            <w:vAlign w:val="center"/>
          </w:tcPr>
          <w:p w14:paraId="5EDCD9CD" w14:textId="77777777" w:rsidR="00CC1040" w:rsidRPr="002660BC" w:rsidRDefault="000B4BF8" w:rsidP="005B5204">
            <w:pPr>
              <w:ind w:firstLineChars="0" w:firstLine="0"/>
              <w:jc w:val="center"/>
            </w:pPr>
            <w:r w:rsidRPr="002660BC">
              <w:rPr>
                <w:rFonts w:ascii="Times New Roman" w:hAnsi="Times New Roman"/>
              </w:rPr>
              <w:t>Near-linear</w:t>
            </w:r>
          </w:p>
        </w:tc>
        <w:tc>
          <w:tcPr>
            <w:tcW w:w="437" w:type="pct"/>
            <w:vAlign w:val="center"/>
          </w:tcPr>
          <w:p w14:paraId="599C7120" w14:textId="77777777" w:rsidR="00CC1040" w:rsidRPr="002660BC" w:rsidRDefault="000B4BF8" w:rsidP="005B5204">
            <w:pPr>
              <w:ind w:firstLineChars="0" w:firstLine="0"/>
              <w:jc w:val="center"/>
            </w:pPr>
            <w:r w:rsidRPr="002660BC">
              <w:rPr>
                <w:rFonts w:ascii="Times New Roman" w:hAnsi="Times New Roman"/>
              </w:rPr>
              <w:t>Met</w:t>
            </w:r>
          </w:p>
        </w:tc>
      </w:tr>
      <w:tr w:rsidR="002660BC" w:rsidRPr="002660BC" w14:paraId="6838734A" w14:textId="77777777" w:rsidTr="005F78D5">
        <w:trPr>
          <w:trHeight w:val="283"/>
          <w:jc w:val="center"/>
        </w:trPr>
        <w:tc>
          <w:tcPr>
            <w:tcW w:w="1866" w:type="pct"/>
            <w:vAlign w:val="center"/>
          </w:tcPr>
          <w:p w14:paraId="3C9FEA5D" w14:textId="77777777" w:rsidR="00CC1040" w:rsidRPr="002660BC" w:rsidRDefault="000B4BF8" w:rsidP="00235B1F">
            <w:pPr>
              <w:ind w:firstLineChars="0" w:firstLine="0"/>
              <w:jc w:val="left"/>
            </w:pPr>
            <w:r w:rsidRPr="002660BC">
              <w:rPr>
                <w:rFonts w:ascii="Times New Roman" w:hAnsi="Times New Roman"/>
              </w:rPr>
              <w:t>Homogeneity of regression slopes</w:t>
            </w:r>
          </w:p>
        </w:tc>
        <w:tc>
          <w:tcPr>
            <w:tcW w:w="1383" w:type="pct"/>
            <w:vAlign w:val="center"/>
          </w:tcPr>
          <w:p w14:paraId="5DEECAB9" w14:textId="77777777" w:rsidR="00CC1040" w:rsidRPr="002660BC" w:rsidRDefault="000B4BF8" w:rsidP="005B5204">
            <w:pPr>
              <w:ind w:firstLineChars="0" w:firstLine="0"/>
              <w:jc w:val="center"/>
            </w:pPr>
            <w:r w:rsidRPr="002660BC">
              <w:rPr>
                <w:rFonts w:ascii="Times New Roman" w:hAnsi="Times New Roman"/>
              </w:rPr>
              <w:t>Group × baseline interaction</w:t>
            </w:r>
          </w:p>
        </w:tc>
        <w:tc>
          <w:tcPr>
            <w:tcW w:w="1314" w:type="pct"/>
            <w:vAlign w:val="center"/>
          </w:tcPr>
          <w:p w14:paraId="2CE40C5A" w14:textId="77777777" w:rsidR="00CC1040" w:rsidRPr="002660BC" w:rsidRDefault="000B4BF8" w:rsidP="005B5204">
            <w:pPr>
              <w:ind w:firstLineChars="0" w:firstLine="0"/>
              <w:jc w:val="center"/>
            </w:pPr>
            <w:r w:rsidRPr="002660BC">
              <w:rPr>
                <w:rFonts w:ascii="Times New Roman" w:hAnsi="Times New Roman"/>
                <w:i/>
                <w:iCs/>
              </w:rPr>
              <w:t>F</w:t>
            </w:r>
            <w:r w:rsidRPr="002660BC">
              <w:rPr>
                <w:rFonts w:ascii="Times New Roman" w:hAnsi="Times New Roman"/>
              </w:rPr>
              <w:t xml:space="preserve">(2,194) = 0.953, </w:t>
            </w:r>
            <w:r w:rsidRPr="002660BC">
              <w:rPr>
                <w:rFonts w:ascii="Times New Roman" w:hAnsi="Times New Roman"/>
                <w:i/>
                <w:iCs/>
              </w:rPr>
              <w:t>p</w:t>
            </w:r>
            <w:r w:rsidRPr="002660BC">
              <w:rPr>
                <w:rFonts w:ascii="Times New Roman" w:hAnsi="Times New Roman"/>
              </w:rPr>
              <w:t xml:space="preserve"> = 0.388</w:t>
            </w:r>
          </w:p>
        </w:tc>
        <w:tc>
          <w:tcPr>
            <w:tcW w:w="437" w:type="pct"/>
            <w:vAlign w:val="center"/>
          </w:tcPr>
          <w:p w14:paraId="43BA96D0" w14:textId="77777777" w:rsidR="00CC1040" w:rsidRPr="002660BC" w:rsidRDefault="000B4BF8" w:rsidP="005B5204">
            <w:pPr>
              <w:ind w:firstLineChars="0" w:firstLine="0"/>
              <w:jc w:val="center"/>
            </w:pPr>
            <w:r w:rsidRPr="002660BC">
              <w:rPr>
                <w:rFonts w:ascii="Times New Roman" w:hAnsi="Times New Roman"/>
              </w:rPr>
              <w:t>Met</w:t>
            </w:r>
          </w:p>
        </w:tc>
      </w:tr>
      <w:tr w:rsidR="002660BC" w:rsidRPr="002660BC" w14:paraId="034D0E7B" w14:textId="77777777" w:rsidTr="005F78D5">
        <w:trPr>
          <w:trHeight w:val="283"/>
          <w:jc w:val="center"/>
        </w:trPr>
        <w:tc>
          <w:tcPr>
            <w:tcW w:w="1866" w:type="pct"/>
            <w:vAlign w:val="center"/>
          </w:tcPr>
          <w:p w14:paraId="58ABD3E5" w14:textId="77777777" w:rsidR="00CC1040" w:rsidRPr="002660BC" w:rsidRDefault="000B4BF8" w:rsidP="00235B1F">
            <w:pPr>
              <w:ind w:firstLineChars="0" w:firstLine="0"/>
              <w:jc w:val="left"/>
            </w:pPr>
            <w:r w:rsidRPr="002660BC">
              <w:rPr>
                <w:rFonts w:ascii="Times New Roman" w:hAnsi="Times New Roman"/>
              </w:rPr>
              <w:t>Homogeneity of variances</w:t>
            </w:r>
          </w:p>
        </w:tc>
        <w:tc>
          <w:tcPr>
            <w:tcW w:w="1383" w:type="pct"/>
            <w:vAlign w:val="center"/>
          </w:tcPr>
          <w:p w14:paraId="52ECD540" w14:textId="77777777" w:rsidR="00CC1040" w:rsidRPr="002660BC" w:rsidRDefault="000B4BF8" w:rsidP="005B5204">
            <w:pPr>
              <w:ind w:firstLineChars="0" w:firstLine="0"/>
              <w:jc w:val="center"/>
            </w:pPr>
            <w:r w:rsidRPr="002660BC">
              <w:rPr>
                <w:rFonts w:ascii="Times New Roman" w:hAnsi="Times New Roman"/>
              </w:rPr>
              <w:t>Levene test</w:t>
            </w:r>
          </w:p>
        </w:tc>
        <w:tc>
          <w:tcPr>
            <w:tcW w:w="1314" w:type="pct"/>
            <w:vAlign w:val="center"/>
          </w:tcPr>
          <w:p w14:paraId="62BDE904" w14:textId="77777777" w:rsidR="00CC1040" w:rsidRPr="002660BC" w:rsidRDefault="000B4BF8" w:rsidP="005B5204">
            <w:pPr>
              <w:ind w:firstLineChars="0" w:firstLine="0"/>
              <w:jc w:val="center"/>
            </w:pPr>
            <w:r w:rsidRPr="002660BC">
              <w:rPr>
                <w:rFonts w:ascii="Times New Roman" w:hAnsi="Times New Roman"/>
                <w:i/>
                <w:iCs/>
              </w:rPr>
              <w:t>F</w:t>
            </w:r>
            <w:r w:rsidRPr="002660BC">
              <w:rPr>
                <w:rFonts w:ascii="Times New Roman" w:hAnsi="Times New Roman"/>
              </w:rPr>
              <w:t xml:space="preserve">(2,197) = 1.215, </w:t>
            </w:r>
            <w:r w:rsidRPr="002660BC">
              <w:rPr>
                <w:rFonts w:ascii="Times New Roman" w:hAnsi="Times New Roman"/>
                <w:i/>
                <w:iCs/>
              </w:rPr>
              <w:t>p</w:t>
            </w:r>
            <w:r w:rsidRPr="002660BC">
              <w:rPr>
                <w:rFonts w:ascii="Times New Roman" w:hAnsi="Times New Roman"/>
              </w:rPr>
              <w:t xml:space="preserve"> = 0.300</w:t>
            </w:r>
          </w:p>
        </w:tc>
        <w:tc>
          <w:tcPr>
            <w:tcW w:w="437" w:type="pct"/>
            <w:vAlign w:val="center"/>
          </w:tcPr>
          <w:p w14:paraId="2AA12675" w14:textId="77777777" w:rsidR="00CC1040" w:rsidRPr="002660BC" w:rsidRDefault="000B4BF8" w:rsidP="005B5204">
            <w:pPr>
              <w:ind w:firstLineChars="0" w:firstLine="0"/>
              <w:jc w:val="center"/>
            </w:pPr>
            <w:r w:rsidRPr="002660BC">
              <w:rPr>
                <w:rFonts w:ascii="Times New Roman" w:hAnsi="Times New Roman"/>
              </w:rPr>
              <w:t>Met</w:t>
            </w:r>
          </w:p>
        </w:tc>
      </w:tr>
    </w:tbl>
    <w:p w14:paraId="3E312C19" w14:textId="17984DCA" w:rsidR="00CC1040" w:rsidRPr="002660BC" w:rsidRDefault="000B4BF8" w:rsidP="00235B1F">
      <w:pPr>
        <w:pStyle w:val="af1"/>
      </w:pPr>
      <w:r w:rsidRPr="002660BC">
        <w:t>ΔE, color difference</w:t>
      </w:r>
      <w:r w:rsidR="00795C69" w:rsidRPr="002660BC">
        <w:t>; Q–Q, quantile–quantile plot.</w:t>
      </w:r>
    </w:p>
    <w:p w14:paraId="2292910B" w14:textId="77777777" w:rsidR="00B25ACE" w:rsidRPr="002660BC" w:rsidRDefault="00B25ACE" w:rsidP="00235B1F">
      <w:pPr>
        <w:ind w:firstLine="420"/>
      </w:pPr>
    </w:p>
    <w:p w14:paraId="1A55BA00" w14:textId="77777777" w:rsidR="00B25ACE" w:rsidRPr="002660BC" w:rsidRDefault="00B25ACE" w:rsidP="00235B1F">
      <w:pPr>
        <w:ind w:firstLine="420"/>
      </w:pPr>
    </w:p>
    <w:p w14:paraId="7F758363" w14:textId="7178B4F0" w:rsidR="00CC1040" w:rsidRPr="002660BC" w:rsidRDefault="00B25ACE" w:rsidP="00235B1F">
      <w:pPr>
        <w:pStyle w:val="1"/>
      </w:pPr>
      <w:r w:rsidRPr="002660BC">
        <w:t xml:space="preserve">Supplementary material </w:t>
      </w:r>
      <w:r w:rsidR="000B4BF8" w:rsidRPr="002660BC">
        <w:t>2. Rank-based (Quade) ANCOVA sensitivity analysis</w:t>
      </w:r>
    </w:p>
    <w:p w14:paraId="5A3E68AC" w14:textId="4CD98613" w:rsidR="00CC1040" w:rsidRPr="002660BC" w:rsidRDefault="000B4BF8" w:rsidP="00235B1F">
      <w:pPr>
        <w:ind w:firstLine="420"/>
      </w:pPr>
      <w:r w:rsidRPr="002660BC">
        <w:t>As a non-parametric sensitivity check on the parametric ANCOVA, a Quade rank-based ANCOVA was performed on the change-score outcome, ranked across all groups, with baseline ΔE also rank-transformed (</w:t>
      </w:r>
      <w:r w:rsidRPr="002660BC">
        <w:rPr>
          <w:b/>
          <w:bCs/>
        </w:rPr>
        <w:t>Supplementary Table 2</w:t>
      </w:r>
      <w:r w:rsidRPr="002660BC">
        <w:t>).</w:t>
      </w:r>
    </w:p>
    <w:p w14:paraId="27426421" w14:textId="119EF996" w:rsidR="00CC1040" w:rsidRPr="002660BC" w:rsidRDefault="000B4BF8" w:rsidP="00235B1F">
      <w:pPr>
        <w:pStyle w:val="af0"/>
      </w:pPr>
      <w:r w:rsidRPr="002660BC">
        <w:rPr>
          <w:bCs/>
        </w:rPr>
        <w:t xml:space="preserve">Supplementary Table 2. </w:t>
      </w:r>
      <w:r w:rsidRPr="002660BC">
        <w:t>Quade rank-based ANCOVA.</w:t>
      </w:r>
    </w:p>
    <w:tbl>
      <w:tblPr>
        <w:tblStyle w:val="afd"/>
        <w:tblW w:w="5000" w:type="pct"/>
        <w:jc w:val="center"/>
        <w:tblLook w:val="04A0" w:firstRow="1" w:lastRow="0" w:firstColumn="1" w:lastColumn="0" w:noHBand="0" w:noVBand="1"/>
      </w:tblPr>
      <w:tblGrid>
        <w:gridCol w:w="3677"/>
        <w:gridCol w:w="1421"/>
        <w:gridCol w:w="1277"/>
        <w:gridCol w:w="1557"/>
        <w:gridCol w:w="2314"/>
      </w:tblGrid>
      <w:tr w:rsidR="002660BC" w:rsidRPr="002660BC" w14:paraId="60A79FDA" w14:textId="77777777" w:rsidTr="00495A8B">
        <w:trPr>
          <w:trHeight w:val="283"/>
          <w:jc w:val="center"/>
        </w:trPr>
        <w:tc>
          <w:tcPr>
            <w:tcW w:w="1794" w:type="pct"/>
            <w:vAlign w:val="center"/>
          </w:tcPr>
          <w:p w14:paraId="39081111" w14:textId="77777777" w:rsidR="00CC1040" w:rsidRPr="002660BC" w:rsidRDefault="000B4BF8" w:rsidP="00495A8B">
            <w:pPr>
              <w:ind w:firstLineChars="0" w:firstLine="0"/>
              <w:jc w:val="left"/>
            </w:pPr>
            <w:r w:rsidRPr="002660BC">
              <w:rPr>
                <w:rFonts w:ascii="Times New Roman" w:hAnsi="Times New Roman"/>
              </w:rPr>
              <w:t>Effect</w:t>
            </w:r>
          </w:p>
        </w:tc>
        <w:tc>
          <w:tcPr>
            <w:tcW w:w="693" w:type="pct"/>
            <w:vAlign w:val="center"/>
          </w:tcPr>
          <w:p w14:paraId="0583932B" w14:textId="77777777" w:rsidR="00CC1040" w:rsidRPr="002660BC" w:rsidRDefault="000B4BF8" w:rsidP="00495A8B">
            <w:pPr>
              <w:ind w:firstLineChars="0" w:firstLine="0"/>
              <w:jc w:val="center"/>
              <w:rPr>
                <w:i/>
                <w:iCs/>
              </w:rPr>
            </w:pPr>
            <w:r w:rsidRPr="002660BC">
              <w:rPr>
                <w:rFonts w:ascii="Times New Roman" w:hAnsi="Times New Roman"/>
                <w:i/>
                <w:iCs/>
              </w:rPr>
              <w:t>df</w:t>
            </w:r>
          </w:p>
        </w:tc>
        <w:tc>
          <w:tcPr>
            <w:tcW w:w="623" w:type="pct"/>
            <w:vAlign w:val="center"/>
          </w:tcPr>
          <w:p w14:paraId="23B191DE" w14:textId="77777777" w:rsidR="00CC1040" w:rsidRPr="002660BC" w:rsidRDefault="000B4BF8" w:rsidP="00495A8B">
            <w:pPr>
              <w:ind w:firstLineChars="0" w:firstLine="0"/>
              <w:jc w:val="center"/>
              <w:rPr>
                <w:i/>
                <w:iCs/>
              </w:rPr>
            </w:pPr>
            <w:r w:rsidRPr="002660BC">
              <w:rPr>
                <w:rFonts w:ascii="Times New Roman" w:hAnsi="Times New Roman"/>
                <w:i/>
                <w:iCs/>
              </w:rPr>
              <w:t>F</w:t>
            </w:r>
          </w:p>
        </w:tc>
        <w:tc>
          <w:tcPr>
            <w:tcW w:w="760" w:type="pct"/>
            <w:vAlign w:val="center"/>
          </w:tcPr>
          <w:p w14:paraId="6E35C2CB" w14:textId="77777777" w:rsidR="00CC1040" w:rsidRPr="002660BC" w:rsidRDefault="000B4BF8" w:rsidP="00495A8B">
            <w:pPr>
              <w:ind w:firstLineChars="0" w:firstLine="0"/>
              <w:jc w:val="center"/>
            </w:pPr>
            <w:r w:rsidRPr="002660BC">
              <w:rPr>
                <w:rFonts w:ascii="Times New Roman" w:hAnsi="Times New Roman"/>
                <w:i/>
                <w:iCs/>
              </w:rPr>
              <w:t xml:space="preserve">p </w:t>
            </w:r>
            <w:r w:rsidRPr="002660BC">
              <w:rPr>
                <w:rFonts w:ascii="Times New Roman" w:hAnsi="Times New Roman"/>
              </w:rPr>
              <w:t>value</w:t>
            </w:r>
          </w:p>
        </w:tc>
        <w:tc>
          <w:tcPr>
            <w:tcW w:w="1129" w:type="pct"/>
            <w:vAlign w:val="center"/>
          </w:tcPr>
          <w:p w14:paraId="1F7EDB16" w14:textId="77777777" w:rsidR="00CC1040" w:rsidRPr="002660BC" w:rsidRDefault="000B4BF8" w:rsidP="00495A8B">
            <w:pPr>
              <w:ind w:firstLineChars="0" w:firstLine="0"/>
              <w:jc w:val="center"/>
            </w:pPr>
            <w:r w:rsidRPr="002660BC">
              <w:rPr>
                <w:rFonts w:ascii="Times New Roman" w:hAnsi="Times New Roman"/>
              </w:rPr>
              <w:t>Conclusion</w:t>
            </w:r>
          </w:p>
        </w:tc>
      </w:tr>
      <w:tr w:rsidR="002660BC" w:rsidRPr="002660BC" w14:paraId="70D0D1E8" w14:textId="77777777" w:rsidTr="00495A8B">
        <w:trPr>
          <w:trHeight w:val="283"/>
          <w:jc w:val="center"/>
        </w:trPr>
        <w:tc>
          <w:tcPr>
            <w:tcW w:w="1794" w:type="pct"/>
            <w:vAlign w:val="center"/>
          </w:tcPr>
          <w:p w14:paraId="19AC4544" w14:textId="77777777" w:rsidR="00CC1040" w:rsidRPr="002660BC" w:rsidRDefault="000B4BF8" w:rsidP="00495A8B">
            <w:pPr>
              <w:ind w:firstLineChars="0" w:firstLine="0"/>
              <w:jc w:val="left"/>
            </w:pPr>
            <w:r w:rsidRPr="002660BC">
              <w:rPr>
                <w:rFonts w:ascii="Times New Roman" w:hAnsi="Times New Roman"/>
              </w:rPr>
              <w:t>Baseline ΔE (rank-transformed)</w:t>
            </w:r>
          </w:p>
        </w:tc>
        <w:tc>
          <w:tcPr>
            <w:tcW w:w="693" w:type="pct"/>
            <w:vAlign w:val="center"/>
          </w:tcPr>
          <w:p w14:paraId="00E9F7BB" w14:textId="77777777" w:rsidR="00CC1040" w:rsidRPr="002660BC" w:rsidRDefault="000B4BF8" w:rsidP="00495A8B">
            <w:pPr>
              <w:ind w:firstLineChars="0" w:firstLine="0"/>
              <w:jc w:val="center"/>
            </w:pPr>
            <w:r w:rsidRPr="002660BC">
              <w:rPr>
                <w:rFonts w:ascii="Times New Roman" w:hAnsi="Times New Roman"/>
              </w:rPr>
              <w:t>1, 196</w:t>
            </w:r>
          </w:p>
        </w:tc>
        <w:tc>
          <w:tcPr>
            <w:tcW w:w="623" w:type="pct"/>
            <w:vAlign w:val="center"/>
          </w:tcPr>
          <w:p w14:paraId="2AD172FD" w14:textId="77777777" w:rsidR="00CC1040" w:rsidRPr="002660BC" w:rsidRDefault="000B4BF8" w:rsidP="00495A8B">
            <w:pPr>
              <w:ind w:firstLineChars="0" w:firstLine="0"/>
              <w:jc w:val="center"/>
            </w:pPr>
            <w:r w:rsidRPr="002660BC">
              <w:rPr>
                <w:rFonts w:ascii="Times New Roman" w:hAnsi="Times New Roman"/>
              </w:rPr>
              <w:t>28.41</w:t>
            </w:r>
          </w:p>
        </w:tc>
        <w:tc>
          <w:tcPr>
            <w:tcW w:w="760" w:type="pct"/>
            <w:vAlign w:val="center"/>
          </w:tcPr>
          <w:p w14:paraId="40351446" w14:textId="4903B4B4" w:rsidR="00CC1040" w:rsidRPr="002660BC" w:rsidRDefault="000B4BF8" w:rsidP="00495A8B">
            <w:pPr>
              <w:ind w:firstLineChars="0" w:firstLine="0"/>
              <w:jc w:val="center"/>
            </w:pPr>
            <w:r w:rsidRPr="002660BC">
              <w:rPr>
                <w:rFonts w:ascii="Times New Roman" w:hAnsi="Times New Roman"/>
              </w:rPr>
              <w:t>&lt;0.001</w:t>
            </w:r>
          </w:p>
        </w:tc>
        <w:tc>
          <w:tcPr>
            <w:tcW w:w="1129" w:type="pct"/>
            <w:vAlign w:val="center"/>
          </w:tcPr>
          <w:p w14:paraId="4F57A7E5" w14:textId="77777777" w:rsidR="00CC1040" w:rsidRPr="002660BC" w:rsidRDefault="000B4BF8" w:rsidP="00495A8B">
            <w:pPr>
              <w:ind w:firstLineChars="0" w:firstLine="0"/>
              <w:jc w:val="center"/>
            </w:pPr>
            <w:r w:rsidRPr="002660BC">
              <w:rPr>
                <w:rFonts w:ascii="Times New Roman" w:hAnsi="Times New Roman"/>
              </w:rPr>
              <w:t>Significant covariate</w:t>
            </w:r>
          </w:p>
        </w:tc>
      </w:tr>
      <w:tr w:rsidR="002660BC" w:rsidRPr="002660BC" w14:paraId="0571FDE8" w14:textId="77777777" w:rsidTr="00495A8B">
        <w:trPr>
          <w:trHeight w:val="283"/>
          <w:jc w:val="center"/>
        </w:trPr>
        <w:tc>
          <w:tcPr>
            <w:tcW w:w="1794" w:type="pct"/>
            <w:vAlign w:val="center"/>
          </w:tcPr>
          <w:p w14:paraId="1611A9B2" w14:textId="77777777" w:rsidR="00CC1040" w:rsidRPr="002660BC" w:rsidRDefault="000B4BF8" w:rsidP="00495A8B">
            <w:pPr>
              <w:ind w:firstLineChars="0" w:firstLine="0"/>
              <w:jc w:val="left"/>
            </w:pPr>
            <w:r w:rsidRPr="002660BC">
              <w:rPr>
                <w:rFonts w:ascii="Times New Roman" w:hAnsi="Times New Roman"/>
              </w:rPr>
              <w:t>Treatment group (overall)</w:t>
            </w:r>
          </w:p>
        </w:tc>
        <w:tc>
          <w:tcPr>
            <w:tcW w:w="693" w:type="pct"/>
            <w:vAlign w:val="center"/>
          </w:tcPr>
          <w:p w14:paraId="3EA7C13E" w14:textId="77777777" w:rsidR="00CC1040" w:rsidRPr="002660BC" w:rsidRDefault="000B4BF8" w:rsidP="00495A8B">
            <w:pPr>
              <w:ind w:firstLineChars="0" w:firstLine="0"/>
              <w:jc w:val="center"/>
            </w:pPr>
            <w:r w:rsidRPr="002660BC">
              <w:rPr>
                <w:rFonts w:ascii="Times New Roman" w:hAnsi="Times New Roman"/>
              </w:rPr>
              <w:t>2, 196</w:t>
            </w:r>
          </w:p>
        </w:tc>
        <w:tc>
          <w:tcPr>
            <w:tcW w:w="623" w:type="pct"/>
            <w:vAlign w:val="center"/>
          </w:tcPr>
          <w:p w14:paraId="44AD4E7A" w14:textId="77777777" w:rsidR="00CC1040" w:rsidRPr="002660BC" w:rsidRDefault="000B4BF8" w:rsidP="00495A8B">
            <w:pPr>
              <w:ind w:firstLineChars="0" w:firstLine="0"/>
              <w:jc w:val="center"/>
            </w:pPr>
            <w:r w:rsidRPr="002660BC">
              <w:rPr>
                <w:rFonts w:ascii="Times New Roman" w:hAnsi="Times New Roman"/>
              </w:rPr>
              <w:t>2.39</w:t>
            </w:r>
          </w:p>
        </w:tc>
        <w:tc>
          <w:tcPr>
            <w:tcW w:w="760" w:type="pct"/>
            <w:vAlign w:val="center"/>
          </w:tcPr>
          <w:p w14:paraId="47A867D3" w14:textId="77777777" w:rsidR="00CC1040" w:rsidRPr="002660BC" w:rsidRDefault="000B4BF8" w:rsidP="00495A8B">
            <w:pPr>
              <w:ind w:firstLineChars="0" w:firstLine="0"/>
              <w:jc w:val="center"/>
            </w:pPr>
            <w:r w:rsidRPr="002660BC">
              <w:rPr>
                <w:rFonts w:ascii="Times New Roman" w:hAnsi="Times New Roman"/>
              </w:rPr>
              <w:t>0.094</w:t>
            </w:r>
          </w:p>
        </w:tc>
        <w:tc>
          <w:tcPr>
            <w:tcW w:w="1129" w:type="pct"/>
            <w:vAlign w:val="center"/>
          </w:tcPr>
          <w:p w14:paraId="22A3EAC3" w14:textId="77777777" w:rsidR="00CC1040" w:rsidRPr="002660BC" w:rsidRDefault="000B4BF8" w:rsidP="00495A8B">
            <w:pPr>
              <w:ind w:firstLineChars="0" w:firstLine="0"/>
              <w:jc w:val="center"/>
            </w:pPr>
            <w:r w:rsidRPr="002660BC">
              <w:rPr>
                <w:rFonts w:ascii="Times New Roman" w:hAnsi="Times New Roman"/>
              </w:rPr>
              <w:t>Not significant</w:t>
            </w:r>
          </w:p>
        </w:tc>
      </w:tr>
    </w:tbl>
    <w:p w14:paraId="01265034" w14:textId="77777777" w:rsidR="00CC1040" w:rsidRPr="002660BC" w:rsidRDefault="000B4BF8" w:rsidP="00495A8B">
      <w:pPr>
        <w:pStyle w:val="af1"/>
      </w:pPr>
      <w:r w:rsidRPr="002660BC">
        <w:t>The rank-based sensitivity ANCOVA (</w:t>
      </w:r>
      <w:r w:rsidRPr="002660BC">
        <w:rPr>
          <w:i/>
          <w:iCs/>
        </w:rPr>
        <w:t>p</w:t>
      </w:r>
      <w:r w:rsidRPr="002660BC">
        <w:t xml:space="preserve"> = 0.094) is qualitatively consistent with the parametric ANCOVA (</w:t>
      </w:r>
      <w:r w:rsidRPr="002660BC">
        <w:rPr>
          <w:i/>
          <w:iCs/>
        </w:rPr>
        <w:t>p</w:t>
      </w:r>
      <w:r w:rsidRPr="002660BC">
        <w:t xml:space="preserve"> = 0.086). The conclusion of statistical equivalence between groups for color change, after adjustment for baseline severity, is robust to the choice of parametric versus rank-based analysis. ΔE, color difference; </w:t>
      </w:r>
      <w:r w:rsidRPr="002660BC">
        <w:rPr>
          <w:i/>
          <w:iCs/>
        </w:rPr>
        <w:t>df</w:t>
      </w:r>
      <w:r w:rsidRPr="002660BC">
        <w:t>, degrees of freedom.</w:t>
      </w:r>
    </w:p>
    <w:p w14:paraId="20E58447" w14:textId="77777777" w:rsidR="00B25ACE" w:rsidRPr="002660BC" w:rsidRDefault="00B25ACE" w:rsidP="00495A8B">
      <w:pPr>
        <w:ind w:firstLine="420"/>
      </w:pPr>
    </w:p>
    <w:p w14:paraId="2D3E1B11" w14:textId="77777777" w:rsidR="00B25ACE" w:rsidRPr="002660BC" w:rsidRDefault="00B25ACE" w:rsidP="00495A8B">
      <w:pPr>
        <w:ind w:firstLine="420"/>
      </w:pPr>
    </w:p>
    <w:p w14:paraId="35DF80BB" w14:textId="372C2C0F" w:rsidR="00CC1040" w:rsidRPr="002660BC" w:rsidRDefault="00B25ACE" w:rsidP="00495A8B">
      <w:pPr>
        <w:pStyle w:val="1"/>
      </w:pPr>
      <w:r w:rsidRPr="002660BC">
        <w:t xml:space="preserve">Supplementary material </w:t>
      </w:r>
      <w:r w:rsidR="000B4BF8" w:rsidRPr="002660BC">
        <w:t>3. Linear mixed-effects model</w:t>
      </w:r>
      <w:r w:rsidR="00495A8B" w:rsidRPr="002660BC">
        <w:t>—</w:t>
      </w:r>
      <w:r w:rsidR="000B4BF8" w:rsidRPr="002660BC">
        <w:t>within-patient clustering</w:t>
      </w:r>
    </w:p>
    <w:p w14:paraId="5A5A555C" w14:textId="77777777" w:rsidR="00CC1040" w:rsidRPr="002660BC" w:rsidRDefault="000B4BF8" w:rsidP="00922A47">
      <w:pPr>
        <w:ind w:firstLine="420"/>
      </w:pPr>
      <w:r w:rsidRPr="002660BC">
        <w:t>To account for within-patient clustering of the two teeth per child (FDI 11 and 21), a linear mixed-effects model was fitted to each outcome, with patient as a random intercept and treatment group, time and baseline value as fixed effects, estimated by restricted maximum likelihood. Model specification: Outcome ~ Group + Time + Baseline + (1 | Patient).</w:t>
      </w:r>
    </w:p>
    <w:p w14:paraId="56897E0A" w14:textId="681DD358" w:rsidR="00CC1040" w:rsidRPr="002660BC" w:rsidRDefault="000B4BF8" w:rsidP="00235B1F">
      <w:pPr>
        <w:pStyle w:val="af0"/>
      </w:pPr>
      <w:r w:rsidRPr="002660BC">
        <w:rPr>
          <w:bCs/>
        </w:rPr>
        <w:t xml:space="preserve">Supplementary Table 3. </w:t>
      </w:r>
      <w:r w:rsidRPr="002660BC">
        <w:t>Intraclass correlation coefficient (ICC) for patient.</w:t>
      </w:r>
    </w:p>
    <w:tbl>
      <w:tblPr>
        <w:tblStyle w:val="afd"/>
        <w:tblW w:w="5000" w:type="pct"/>
        <w:jc w:val="center"/>
        <w:tblLook w:val="04A0" w:firstRow="1" w:lastRow="0" w:firstColumn="1" w:lastColumn="0" w:noHBand="0" w:noVBand="1"/>
      </w:tblPr>
      <w:tblGrid>
        <w:gridCol w:w="1442"/>
        <w:gridCol w:w="1445"/>
        <w:gridCol w:w="7359"/>
      </w:tblGrid>
      <w:tr w:rsidR="002660BC" w:rsidRPr="002660BC" w14:paraId="66902A82" w14:textId="77777777" w:rsidTr="008579F0">
        <w:trPr>
          <w:trHeight w:val="283"/>
          <w:jc w:val="center"/>
        </w:trPr>
        <w:tc>
          <w:tcPr>
            <w:tcW w:w="704" w:type="pct"/>
            <w:vAlign w:val="center"/>
          </w:tcPr>
          <w:p w14:paraId="73B53ABE" w14:textId="77777777" w:rsidR="00CC1040" w:rsidRPr="002660BC" w:rsidRDefault="000B4BF8" w:rsidP="002045B3">
            <w:pPr>
              <w:ind w:firstLineChars="0" w:firstLine="0"/>
              <w:jc w:val="left"/>
            </w:pPr>
            <w:r w:rsidRPr="002660BC">
              <w:rPr>
                <w:rFonts w:ascii="Times New Roman" w:hAnsi="Times New Roman"/>
              </w:rPr>
              <w:t>Outcome</w:t>
            </w:r>
          </w:p>
        </w:tc>
        <w:tc>
          <w:tcPr>
            <w:tcW w:w="705" w:type="pct"/>
            <w:vAlign w:val="center"/>
          </w:tcPr>
          <w:p w14:paraId="0A9B878F" w14:textId="77777777" w:rsidR="00CC1040" w:rsidRPr="002660BC" w:rsidRDefault="000B4BF8" w:rsidP="00495A8B">
            <w:pPr>
              <w:ind w:firstLineChars="0" w:firstLine="0"/>
              <w:jc w:val="center"/>
            </w:pPr>
            <w:r w:rsidRPr="002660BC">
              <w:rPr>
                <w:rFonts w:ascii="Times New Roman" w:hAnsi="Times New Roman"/>
              </w:rPr>
              <w:t>ICC (patient)</w:t>
            </w:r>
          </w:p>
        </w:tc>
        <w:tc>
          <w:tcPr>
            <w:tcW w:w="3591" w:type="pct"/>
            <w:vAlign w:val="center"/>
          </w:tcPr>
          <w:p w14:paraId="0BAC283C" w14:textId="77777777" w:rsidR="00CC1040" w:rsidRPr="002660BC" w:rsidRDefault="000B4BF8" w:rsidP="00495A8B">
            <w:pPr>
              <w:ind w:firstLineChars="0" w:firstLine="0"/>
              <w:jc w:val="center"/>
            </w:pPr>
            <w:r w:rsidRPr="002660BC">
              <w:rPr>
                <w:rFonts w:ascii="Times New Roman" w:hAnsi="Times New Roman"/>
              </w:rPr>
              <w:t>Interpretation</w:t>
            </w:r>
          </w:p>
        </w:tc>
      </w:tr>
      <w:tr w:rsidR="002660BC" w:rsidRPr="002660BC" w14:paraId="25187F28" w14:textId="77777777" w:rsidTr="008579F0">
        <w:trPr>
          <w:trHeight w:val="283"/>
          <w:jc w:val="center"/>
        </w:trPr>
        <w:tc>
          <w:tcPr>
            <w:tcW w:w="704" w:type="pct"/>
            <w:vAlign w:val="center"/>
          </w:tcPr>
          <w:p w14:paraId="43BBBD94" w14:textId="77777777" w:rsidR="00CC1040" w:rsidRPr="002660BC" w:rsidRDefault="000B4BF8" w:rsidP="002045B3">
            <w:pPr>
              <w:ind w:firstLineChars="0" w:firstLine="0"/>
              <w:jc w:val="left"/>
            </w:pPr>
            <w:r w:rsidRPr="002660BC">
              <w:rPr>
                <w:rFonts w:ascii="Times New Roman" w:hAnsi="Times New Roman"/>
              </w:rPr>
              <w:t>ΔE (CIELAB)</w:t>
            </w:r>
          </w:p>
        </w:tc>
        <w:tc>
          <w:tcPr>
            <w:tcW w:w="705" w:type="pct"/>
            <w:vAlign w:val="center"/>
          </w:tcPr>
          <w:p w14:paraId="1464B661" w14:textId="77777777" w:rsidR="00CC1040" w:rsidRPr="002660BC" w:rsidRDefault="000B4BF8" w:rsidP="00495A8B">
            <w:pPr>
              <w:ind w:firstLineChars="0" w:firstLine="0"/>
              <w:jc w:val="center"/>
            </w:pPr>
            <w:r w:rsidRPr="002660BC">
              <w:rPr>
                <w:rFonts w:ascii="Times New Roman" w:hAnsi="Times New Roman"/>
              </w:rPr>
              <w:t>0.18</w:t>
            </w:r>
          </w:p>
        </w:tc>
        <w:tc>
          <w:tcPr>
            <w:tcW w:w="3591" w:type="pct"/>
            <w:vAlign w:val="center"/>
          </w:tcPr>
          <w:p w14:paraId="76B55205" w14:textId="77777777" w:rsidR="00CC1040" w:rsidRPr="002660BC" w:rsidRDefault="000B4BF8" w:rsidP="00495A8B">
            <w:pPr>
              <w:ind w:firstLineChars="0" w:firstLine="0"/>
              <w:jc w:val="center"/>
            </w:pPr>
            <w:r w:rsidRPr="002660BC">
              <w:rPr>
                <w:rFonts w:ascii="Times New Roman" w:hAnsi="Times New Roman"/>
              </w:rPr>
              <w:t>Modest clustering; mostly explained by within-patient consistency in lesion morphology</w:t>
            </w:r>
          </w:p>
        </w:tc>
      </w:tr>
      <w:tr w:rsidR="002660BC" w:rsidRPr="002660BC" w14:paraId="4983A3AE" w14:textId="77777777" w:rsidTr="008579F0">
        <w:trPr>
          <w:trHeight w:val="283"/>
          <w:jc w:val="center"/>
        </w:trPr>
        <w:tc>
          <w:tcPr>
            <w:tcW w:w="704" w:type="pct"/>
            <w:vAlign w:val="center"/>
          </w:tcPr>
          <w:p w14:paraId="37D2E664" w14:textId="77777777" w:rsidR="00CC1040" w:rsidRPr="002660BC" w:rsidRDefault="000B4BF8" w:rsidP="002045B3">
            <w:pPr>
              <w:ind w:firstLineChars="0" w:firstLine="0"/>
              <w:jc w:val="left"/>
            </w:pPr>
            <w:r w:rsidRPr="002660BC">
              <w:rPr>
                <w:rFonts w:ascii="Times New Roman" w:hAnsi="Times New Roman"/>
              </w:rPr>
              <w:t>ICDAS II</w:t>
            </w:r>
          </w:p>
        </w:tc>
        <w:tc>
          <w:tcPr>
            <w:tcW w:w="705" w:type="pct"/>
            <w:vAlign w:val="center"/>
          </w:tcPr>
          <w:p w14:paraId="30DD6165" w14:textId="77777777" w:rsidR="00CC1040" w:rsidRPr="002660BC" w:rsidRDefault="000B4BF8" w:rsidP="00495A8B">
            <w:pPr>
              <w:ind w:firstLineChars="0" w:firstLine="0"/>
              <w:jc w:val="center"/>
            </w:pPr>
            <w:r w:rsidRPr="002660BC">
              <w:rPr>
                <w:rFonts w:ascii="Times New Roman" w:hAnsi="Times New Roman"/>
              </w:rPr>
              <w:t>0.21</w:t>
            </w:r>
          </w:p>
        </w:tc>
        <w:tc>
          <w:tcPr>
            <w:tcW w:w="3591" w:type="pct"/>
            <w:vAlign w:val="center"/>
          </w:tcPr>
          <w:p w14:paraId="37EE3C14" w14:textId="77777777" w:rsidR="00CC1040" w:rsidRPr="002660BC" w:rsidRDefault="000B4BF8" w:rsidP="00495A8B">
            <w:pPr>
              <w:ind w:firstLineChars="0" w:firstLine="0"/>
              <w:jc w:val="center"/>
            </w:pPr>
            <w:r w:rsidRPr="002660BC">
              <w:rPr>
                <w:rFonts w:ascii="Times New Roman" w:hAnsi="Times New Roman"/>
              </w:rPr>
              <w:t>Modest clustering; reflects shared oral environment</w:t>
            </w:r>
          </w:p>
        </w:tc>
      </w:tr>
      <w:tr w:rsidR="002660BC" w:rsidRPr="002660BC" w14:paraId="572BFABB" w14:textId="77777777" w:rsidTr="008579F0">
        <w:trPr>
          <w:trHeight w:val="283"/>
          <w:jc w:val="center"/>
        </w:trPr>
        <w:tc>
          <w:tcPr>
            <w:tcW w:w="704" w:type="pct"/>
            <w:vAlign w:val="center"/>
          </w:tcPr>
          <w:p w14:paraId="5A2B30F0" w14:textId="77777777" w:rsidR="00CC1040" w:rsidRPr="002660BC" w:rsidRDefault="000B4BF8" w:rsidP="002045B3">
            <w:pPr>
              <w:ind w:firstLineChars="0" w:firstLine="0"/>
              <w:jc w:val="left"/>
            </w:pPr>
            <w:r w:rsidRPr="002660BC">
              <w:rPr>
                <w:rFonts w:ascii="Times New Roman" w:hAnsi="Times New Roman"/>
              </w:rPr>
              <w:t>DIAGNOdent</w:t>
            </w:r>
          </w:p>
        </w:tc>
        <w:tc>
          <w:tcPr>
            <w:tcW w:w="705" w:type="pct"/>
            <w:vAlign w:val="center"/>
          </w:tcPr>
          <w:p w14:paraId="46014227" w14:textId="77777777" w:rsidR="00CC1040" w:rsidRPr="002660BC" w:rsidRDefault="000B4BF8" w:rsidP="00495A8B">
            <w:pPr>
              <w:ind w:firstLineChars="0" w:firstLine="0"/>
              <w:jc w:val="center"/>
            </w:pPr>
            <w:r w:rsidRPr="002660BC">
              <w:rPr>
                <w:rFonts w:ascii="Times New Roman" w:hAnsi="Times New Roman"/>
              </w:rPr>
              <w:t>0.27</w:t>
            </w:r>
          </w:p>
        </w:tc>
        <w:tc>
          <w:tcPr>
            <w:tcW w:w="3591" w:type="pct"/>
            <w:vAlign w:val="center"/>
          </w:tcPr>
          <w:p w14:paraId="39539947" w14:textId="77777777" w:rsidR="00CC1040" w:rsidRPr="002660BC" w:rsidRDefault="000B4BF8" w:rsidP="00495A8B">
            <w:pPr>
              <w:ind w:firstLineChars="0" w:firstLine="0"/>
              <w:jc w:val="center"/>
            </w:pPr>
            <w:r w:rsidRPr="002660BC">
              <w:rPr>
                <w:rFonts w:ascii="Times New Roman" w:hAnsi="Times New Roman"/>
              </w:rPr>
              <w:t>Modest-to-moderate clustering; consistent with paired contralateral teeth</w:t>
            </w:r>
          </w:p>
        </w:tc>
      </w:tr>
    </w:tbl>
    <w:p w14:paraId="4D3EABC7" w14:textId="7BDE3A22" w:rsidR="00CC1040" w:rsidRPr="002660BC" w:rsidRDefault="00922B23" w:rsidP="00922B23">
      <w:pPr>
        <w:pStyle w:val="af1"/>
        <w:rPr>
          <w:rFonts w:eastAsiaTheme="minorEastAsia"/>
        </w:rPr>
      </w:pPr>
      <w:r w:rsidRPr="002660BC">
        <w:t>ΔE, color difference; CIELAB, CIE L*a*b* color space; ICDAS, International Caries Detection and Assessment System; ICC, intraclass correlation coefficient.</w:t>
      </w:r>
    </w:p>
    <w:p w14:paraId="1E5746AE" w14:textId="77777777" w:rsidR="00922B23" w:rsidRPr="002660BC" w:rsidRDefault="00922B23" w:rsidP="00922B23">
      <w:pPr>
        <w:ind w:firstLine="420"/>
        <w:rPr>
          <w:rFonts w:eastAsiaTheme="minorEastAsia"/>
        </w:rPr>
      </w:pPr>
    </w:p>
    <w:p w14:paraId="6491C869" w14:textId="77777777" w:rsidR="00922B23" w:rsidRPr="002660BC" w:rsidRDefault="00922B23" w:rsidP="00922B23">
      <w:pPr>
        <w:ind w:firstLine="420"/>
        <w:rPr>
          <w:rFonts w:eastAsiaTheme="minorEastAsia"/>
        </w:rPr>
      </w:pPr>
    </w:p>
    <w:p w14:paraId="7850D4F2" w14:textId="350219D2" w:rsidR="00CC1040" w:rsidRPr="002660BC" w:rsidRDefault="000B4BF8" w:rsidP="00235B1F">
      <w:pPr>
        <w:pStyle w:val="af0"/>
      </w:pPr>
      <w:r w:rsidRPr="002660BC">
        <w:rPr>
          <w:bCs/>
        </w:rPr>
        <w:t xml:space="preserve">Supplementary Table 4. </w:t>
      </w:r>
      <w:r w:rsidRPr="002660BC">
        <w:t>Fixed-effect estimates</w:t>
      </w:r>
      <w:r w:rsidR="00235B1F" w:rsidRPr="002660BC">
        <w:t>—</w:t>
      </w:r>
      <w:r w:rsidRPr="002660BC">
        <w:t>overall group effect.</w:t>
      </w:r>
    </w:p>
    <w:tbl>
      <w:tblPr>
        <w:tblStyle w:val="afd"/>
        <w:tblW w:w="5000" w:type="pct"/>
        <w:jc w:val="center"/>
        <w:tblLook w:val="04A0" w:firstRow="1" w:lastRow="0" w:firstColumn="1" w:lastColumn="0" w:noHBand="0" w:noVBand="1"/>
      </w:tblPr>
      <w:tblGrid>
        <w:gridCol w:w="2263"/>
        <w:gridCol w:w="2128"/>
        <w:gridCol w:w="1134"/>
        <w:gridCol w:w="4721"/>
      </w:tblGrid>
      <w:tr w:rsidR="002660BC" w:rsidRPr="002660BC" w14:paraId="5811886D" w14:textId="77777777" w:rsidTr="008579F0">
        <w:trPr>
          <w:trHeight w:val="340"/>
          <w:jc w:val="center"/>
        </w:trPr>
        <w:tc>
          <w:tcPr>
            <w:tcW w:w="1104" w:type="pct"/>
            <w:vAlign w:val="center"/>
          </w:tcPr>
          <w:p w14:paraId="50063815" w14:textId="77777777" w:rsidR="00CC1040" w:rsidRPr="002660BC" w:rsidRDefault="000B4BF8" w:rsidP="008579F0">
            <w:pPr>
              <w:ind w:firstLineChars="0" w:firstLine="0"/>
              <w:jc w:val="left"/>
            </w:pPr>
            <w:r w:rsidRPr="002660BC">
              <w:rPr>
                <w:rFonts w:ascii="Times New Roman" w:hAnsi="Times New Roman"/>
              </w:rPr>
              <w:t>Outcome</w:t>
            </w:r>
          </w:p>
        </w:tc>
        <w:tc>
          <w:tcPr>
            <w:tcW w:w="1038" w:type="pct"/>
            <w:vAlign w:val="center"/>
          </w:tcPr>
          <w:p w14:paraId="19A25453" w14:textId="77777777" w:rsidR="00CC1040" w:rsidRPr="002660BC" w:rsidRDefault="000B4BF8" w:rsidP="00495A8B">
            <w:pPr>
              <w:ind w:firstLineChars="0" w:firstLine="0"/>
              <w:jc w:val="center"/>
            </w:pPr>
            <w:r w:rsidRPr="002660BC">
              <w:rPr>
                <w:rFonts w:ascii="Times New Roman" w:hAnsi="Times New Roman"/>
              </w:rPr>
              <w:t>LMM group effect</w:t>
            </w:r>
          </w:p>
        </w:tc>
        <w:tc>
          <w:tcPr>
            <w:tcW w:w="553" w:type="pct"/>
            <w:vAlign w:val="center"/>
          </w:tcPr>
          <w:p w14:paraId="0389ADB4" w14:textId="77777777" w:rsidR="00CC1040" w:rsidRPr="002660BC" w:rsidRDefault="000B4BF8" w:rsidP="00495A8B">
            <w:pPr>
              <w:ind w:firstLineChars="0" w:firstLine="0"/>
              <w:jc w:val="center"/>
            </w:pPr>
            <w:r w:rsidRPr="002660BC">
              <w:rPr>
                <w:rFonts w:ascii="Times New Roman" w:hAnsi="Times New Roman"/>
                <w:i/>
                <w:iCs/>
              </w:rPr>
              <w:t>p</w:t>
            </w:r>
            <w:r w:rsidRPr="002660BC">
              <w:rPr>
                <w:rFonts w:ascii="Times New Roman" w:hAnsi="Times New Roman"/>
              </w:rPr>
              <w:t xml:space="preserve"> value</w:t>
            </w:r>
          </w:p>
        </w:tc>
        <w:tc>
          <w:tcPr>
            <w:tcW w:w="2304" w:type="pct"/>
            <w:vAlign w:val="center"/>
          </w:tcPr>
          <w:p w14:paraId="53D972AF" w14:textId="77777777" w:rsidR="00CC1040" w:rsidRPr="002660BC" w:rsidRDefault="000B4BF8" w:rsidP="00495A8B">
            <w:pPr>
              <w:ind w:firstLineChars="0" w:firstLine="0"/>
              <w:jc w:val="center"/>
            </w:pPr>
            <w:r w:rsidRPr="002660BC">
              <w:rPr>
                <w:rFonts w:ascii="Times New Roman" w:hAnsi="Times New Roman"/>
              </w:rPr>
              <w:t>Per-tooth analysis comparison</w:t>
            </w:r>
          </w:p>
        </w:tc>
      </w:tr>
      <w:tr w:rsidR="002660BC" w:rsidRPr="002660BC" w14:paraId="786B5388" w14:textId="77777777" w:rsidTr="008579F0">
        <w:trPr>
          <w:trHeight w:val="340"/>
          <w:jc w:val="center"/>
        </w:trPr>
        <w:tc>
          <w:tcPr>
            <w:tcW w:w="1104" w:type="pct"/>
            <w:vAlign w:val="center"/>
          </w:tcPr>
          <w:p w14:paraId="33ABAA2B" w14:textId="77777777" w:rsidR="00CC1040" w:rsidRPr="002660BC" w:rsidRDefault="000B4BF8" w:rsidP="008579F0">
            <w:pPr>
              <w:ind w:firstLineChars="0" w:firstLine="0"/>
              <w:jc w:val="left"/>
            </w:pPr>
            <w:r w:rsidRPr="002660BC">
              <w:rPr>
                <w:rFonts w:ascii="Times New Roman" w:hAnsi="Times New Roman"/>
              </w:rPr>
              <w:t>ΔE change</w:t>
            </w:r>
          </w:p>
        </w:tc>
        <w:tc>
          <w:tcPr>
            <w:tcW w:w="1038" w:type="pct"/>
            <w:vAlign w:val="center"/>
          </w:tcPr>
          <w:p w14:paraId="5BAC1507" w14:textId="77777777" w:rsidR="00CC1040" w:rsidRPr="002660BC" w:rsidRDefault="000B4BF8" w:rsidP="00495A8B">
            <w:pPr>
              <w:ind w:firstLineChars="0" w:firstLine="0"/>
              <w:jc w:val="center"/>
            </w:pPr>
            <w:r w:rsidRPr="002660BC">
              <w:rPr>
                <w:rFonts w:ascii="Times New Roman" w:hAnsi="Times New Roman"/>
                <w:i/>
                <w:iCs/>
              </w:rPr>
              <w:t>F</w:t>
            </w:r>
            <w:r w:rsidRPr="002660BC">
              <w:rPr>
                <w:rFonts w:ascii="Times New Roman" w:hAnsi="Times New Roman"/>
              </w:rPr>
              <w:t>(2,103) = 2.41</w:t>
            </w:r>
          </w:p>
        </w:tc>
        <w:tc>
          <w:tcPr>
            <w:tcW w:w="553" w:type="pct"/>
            <w:vAlign w:val="center"/>
          </w:tcPr>
          <w:p w14:paraId="73AF8C79" w14:textId="77777777" w:rsidR="00CC1040" w:rsidRPr="002660BC" w:rsidRDefault="000B4BF8" w:rsidP="00495A8B">
            <w:pPr>
              <w:ind w:firstLineChars="0" w:firstLine="0"/>
              <w:jc w:val="center"/>
            </w:pPr>
            <w:r w:rsidRPr="002660BC">
              <w:rPr>
                <w:rFonts w:ascii="Times New Roman" w:hAnsi="Times New Roman"/>
              </w:rPr>
              <w:t>0.094</w:t>
            </w:r>
          </w:p>
        </w:tc>
        <w:tc>
          <w:tcPr>
            <w:tcW w:w="2304" w:type="pct"/>
            <w:vAlign w:val="center"/>
          </w:tcPr>
          <w:p w14:paraId="30AD037B" w14:textId="77777777" w:rsidR="00CC1040" w:rsidRPr="002660BC" w:rsidRDefault="000B4BF8" w:rsidP="00495A8B">
            <w:pPr>
              <w:ind w:firstLineChars="0" w:firstLine="0"/>
              <w:jc w:val="center"/>
            </w:pPr>
            <w:r w:rsidRPr="002660BC">
              <w:rPr>
                <w:rFonts w:ascii="Times New Roman" w:hAnsi="Times New Roman"/>
              </w:rPr>
              <w:t>Consistent with per-tooth ANCOVA (</w:t>
            </w:r>
            <w:r w:rsidRPr="002660BC">
              <w:rPr>
                <w:rFonts w:ascii="Times New Roman" w:hAnsi="Times New Roman"/>
                <w:i/>
                <w:iCs/>
              </w:rPr>
              <w:t>p</w:t>
            </w:r>
            <w:r w:rsidRPr="002660BC">
              <w:rPr>
                <w:rFonts w:ascii="Times New Roman" w:hAnsi="Times New Roman"/>
              </w:rPr>
              <w:t xml:space="preserve"> = 0.086)</w:t>
            </w:r>
          </w:p>
        </w:tc>
      </w:tr>
      <w:tr w:rsidR="002660BC" w:rsidRPr="002660BC" w14:paraId="6CAC9B6F" w14:textId="77777777" w:rsidTr="008579F0">
        <w:trPr>
          <w:trHeight w:val="340"/>
          <w:jc w:val="center"/>
        </w:trPr>
        <w:tc>
          <w:tcPr>
            <w:tcW w:w="1104" w:type="pct"/>
            <w:vAlign w:val="center"/>
          </w:tcPr>
          <w:p w14:paraId="48707E0B" w14:textId="77777777" w:rsidR="00CC1040" w:rsidRPr="002660BC" w:rsidRDefault="000B4BF8" w:rsidP="008579F0">
            <w:pPr>
              <w:ind w:firstLineChars="0" w:firstLine="0"/>
              <w:jc w:val="left"/>
            </w:pPr>
            <w:r w:rsidRPr="002660BC">
              <w:rPr>
                <w:rFonts w:ascii="Times New Roman" w:hAnsi="Times New Roman"/>
              </w:rPr>
              <w:t>ICDAS II, 6-month</w:t>
            </w:r>
          </w:p>
        </w:tc>
        <w:tc>
          <w:tcPr>
            <w:tcW w:w="1038" w:type="pct"/>
            <w:vAlign w:val="center"/>
          </w:tcPr>
          <w:p w14:paraId="1EA04CBB" w14:textId="77777777" w:rsidR="00CC1040" w:rsidRPr="002660BC" w:rsidRDefault="000B4BF8" w:rsidP="00495A8B">
            <w:pPr>
              <w:ind w:firstLineChars="0" w:firstLine="0"/>
              <w:jc w:val="center"/>
            </w:pPr>
            <w:r w:rsidRPr="002660BC">
              <w:rPr>
                <w:rFonts w:ascii="Times New Roman" w:hAnsi="Times New Roman"/>
                <w:i/>
                <w:iCs/>
              </w:rPr>
              <w:t>F</w:t>
            </w:r>
            <w:r w:rsidRPr="002660BC">
              <w:rPr>
                <w:rFonts w:ascii="Times New Roman" w:hAnsi="Times New Roman"/>
              </w:rPr>
              <w:t>(2,103) = 6.18</w:t>
            </w:r>
          </w:p>
        </w:tc>
        <w:tc>
          <w:tcPr>
            <w:tcW w:w="553" w:type="pct"/>
            <w:vAlign w:val="center"/>
          </w:tcPr>
          <w:p w14:paraId="06AC6885" w14:textId="77777777" w:rsidR="00CC1040" w:rsidRPr="002660BC" w:rsidRDefault="000B4BF8" w:rsidP="00495A8B">
            <w:pPr>
              <w:ind w:firstLineChars="0" w:firstLine="0"/>
              <w:jc w:val="center"/>
            </w:pPr>
            <w:r w:rsidRPr="002660BC">
              <w:rPr>
                <w:rFonts w:ascii="Times New Roman" w:hAnsi="Times New Roman"/>
              </w:rPr>
              <w:t>0.003</w:t>
            </w:r>
          </w:p>
        </w:tc>
        <w:tc>
          <w:tcPr>
            <w:tcW w:w="2304" w:type="pct"/>
            <w:vAlign w:val="center"/>
          </w:tcPr>
          <w:p w14:paraId="1F326DD7" w14:textId="41D47DBB" w:rsidR="00CC1040" w:rsidRPr="002660BC" w:rsidRDefault="000B4BF8" w:rsidP="00495A8B">
            <w:pPr>
              <w:ind w:firstLineChars="0" w:firstLine="0"/>
              <w:jc w:val="center"/>
            </w:pPr>
            <w:r w:rsidRPr="002660BC">
              <w:rPr>
                <w:rFonts w:ascii="Times New Roman" w:hAnsi="Times New Roman"/>
              </w:rPr>
              <w:t>Consistent with per-tooth Kruskal-Wallis (</w:t>
            </w:r>
            <w:r w:rsidRPr="002660BC">
              <w:rPr>
                <w:rFonts w:ascii="Times New Roman" w:hAnsi="Times New Roman"/>
                <w:i/>
                <w:iCs/>
              </w:rPr>
              <w:t>p</w:t>
            </w:r>
            <w:r w:rsidRPr="002660BC">
              <w:rPr>
                <w:rFonts w:ascii="Times New Roman" w:hAnsi="Times New Roman"/>
              </w:rPr>
              <w:t xml:space="preserve"> = 0.001)</w:t>
            </w:r>
          </w:p>
        </w:tc>
      </w:tr>
      <w:tr w:rsidR="002660BC" w:rsidRPr="002660BC" w14:paraId="61D825B0" w14:textId="77777777" w:rsidTr="008579F0">
        <w:trPr>
          <w:trHeight w:val="340"/>
          <w:jc w:val="center"/>
        </w:trPr>
        <w:tc>
          <w:tcPr>
            <w:tcW w:w="1104" w:type="pct"/>
            <w:vAlign w:val="center"/>
          </w:tcPr>
          <w:p w14:paraId="34D3D25B" w14:textId="77777777" w:rsidR="00CC1040" w:rsidRPr="002660BC" w:rsidRDefault="000B4BF8" w:rsidP="008579F0">
            <w:pPr>
              <w:ind w:firstLineChars="0" w:firstLine="0"/>
              <w:jc w:val="left"/>
            </w:pPr>
            <w:r w:rsidRPr="002660BC">
              <w:rPr>
                <w:rFonts w:ascii="Times New Roman" w:hAnsi="Times New Roman"/>
              </w:rPr>
              <w:t>DIAGNOdent, 6-month</w:t>
            </w:r>
          </w:p>
        </w:tc>
        <w:tc>
          <w:tcPr>
            <w:tcW w:w="1038" w:type="pct"/>
            <w:vAlign w:val="center"/>
          </w:tcPr>
          <w:p w14:paraId="3D39CF97" w14:textId="77777777" w:rsidR="00CC1040" w:rsidRPr="002660BC" w:rsidRDefault="000B4BF8" w:rsidP="00495A8B">
            <w:pPr>
              <w:ind w:firstLineChars="0" w:firstLine="0"/>
              <w:jc w:val="center"/>
            </w:pPr>
            <w:r w:rsidRPr="002660BC">
              <w:rPr>
                <w:rFonts w:ascii="Times New Roman" w:hAnsi="Times New Roman"/>
                <w:i/>
                <w:iCs/>
              </w:rPr>
              <w:t>F</w:t>
            </w:r>
            <w:r w:rsidRPr="002660BC">
              <w:rPr>
                <w:rFonts w:ascii="Times New Roman" w:hAnsi="Times New Roman"/>
              </w:rPr>
              <w:t>(2,103) = 22.84</w:t>
            </w:r>
          </w:p>
        </w:tc>
        <w:tc>
          <w:tcPr>
            <w:tcW w:w="553" w:type="pct"/>
            <w:vAlign w:val="center"/>
          </w:tcPr>
          <w:p w14:paraId="6DDDA839" w14:textId="695F7024" w:rsidR="00CC1040" w:rsidRPr="002660BC" w:rsidRDefault="000B4BF8" w:rsidP="00495A8B">
            <w:pPr>
              <w:ind w:firstLineChars="0" w:firstLine="0"/>
              <w:jc w:val="center"/>
            </w:pPr>
            <w:r w:rsidRPr="002660BC">
              <w:rPr>
                <w:rFonts w:ascii="Times New Roman" w:hAnsi="Times New Roman"/>
              </w:rPr>
              <w:t>&lt;0.001</w:t>
            </w:r>
          </w:p>
        </w:tc>
        <w:tc>
          <w:tcPr>
            <w:tcW w:w="2304" w:type="pct"/>
            <w:vAlign w:val="center"/>
          </w:tcPr>
          <w:p w14:paraId="6B8B80C6" w14:textId="5ECF137F" w:rsidR="00CC1040" w:rsidRPr="002660BC" w:rsidRDefault="000B4BF8" w:rsidP="00495A8B">
            <w:pPr>
              <w:ind w:firstLineChars="0" w:firstLine="0"/>
              <w:jc w:val="center"/>
            </w:pPr>
            <w:r w:rsidRPr="002660BC">
              <w:rPr>
                <w:rFonts w:ascii="Times New Roman" w:hAnsi="Times New Roman"/>
              </w:rPr>
              <w:t>Consistent with per-tooth Kruskal-Wallis (</w:t>
            </w:r>
            <w:r w:rsidRPr="002660BC">
              <w:rPr>
                <w:rFonts w:ascii="Times New Roman" w:hAnsi="Times New Roman"/>
                <w:i/>
                <w:iCs/>
              </w:rPr>
              <w:t>p</w:t>
            </w:r>
            <w:r w:rsidRPr="002660BC">
              <w:rPr>
                <w:rFonts w:ascii="Times New Roman" w:hAnsi="Times New Roman"/>
              </w:rPr>
              <w:t xml:space="preserve"> &lt; 0.001)</w:t>
            </w:r>
          </w:p>
        </w:tc>
      </w:tr>
    </w:tbl>
    <w:p w14:paraId="3C2AB139" w14:textId="44AD8784" w:rsidR="00CC1040" w:rsidRPr="002660BC" w:rsidRDefault="000B4BF8" w:rsidP="00495A8B">
      <w:pPr>
        <w:pStyle w:val="af1"/>
      </w:pPr>
      <w:r w:rsidRPr="002660BC">
        <w:t>Fixed-effect inferences from the linear mixed-effects model accounting for within-patient clustering are qualitatively identical to the per-tooth analyses reported in the main manuscript. The conclusions are robust to clustering. LMM, linear mixed-effects model; ΔE, color difference; ICDAS, International Caries Detection and Assessment System</w:t>
      </w:r>
      <w:r w:rsidR="005B5AAA" w:rsidRPr="002660BC">
        <w:t xml:space="preserve">; ANCOVA, </w:t>
      </w:r>
      <w:r w:rsidRPr="002660BC">
        <w:t>analysis of covariance.</w:t>
      </w:r>
    </w:p>
    <w:p w14:paraId="62E5190F" w14:textId="77DECAB7" w:rsidR="00F412A7" w:rsidRPr="002660BC" w:rsidRDefault="00F412A7" w:rsidP="008579F0">
      <w:pPr>
        <w:ind w:firstLine="420"/>
        <w:rPr>
          <w:rFonts w:eastAsiaTheme="minorEastAsia"/>
        </w:rPr>
      </w:pPr>
    </w:p>
    <w:p w14:paraId="3913D5F4" w14:textId="77777777" w:rsidR="00495A8B" w:rsidRPr="002660BC" w:rsidRDefault="00495A8B" w:rsidP="008579F0">
      <w:pPr>
        <w:ind w:firstLine="420"/>
        <w:rPr>
          <w:rFonts w:eastAsiaTheme="minorEastAsia"/>
        </w:rPr>
      </w:pPr>
    </w:p>
    <w:p w14:paraId="4CDD9AD8" w14:textId="2F7F33DB" w:rsidR="00CC1040" w:rsidRPr="002660BC" w:rsidRDefault="00B25ACE" w:rsidP="00235B1F">
      <w:pPr>
        <w:pStyle w:val="1"/>
      </w:pPr>
      <w:r w:rsidRPr="002660BC">
        <w:t xml:space="preserve">Supplementary material </w:t>
      </w:r>
      <w:r w:rsidR="000B4BF8" w:rsidRPr="002660BC">
        <w:t>4. Photographic acquisition and CIELAB analysis—detailed protocol</w:t>
      </w:r>
    </w:p>
    <w:p w14:paraId="6C8A20B7" w14:textId="77777777" w:rsidR="00CC1040" w:rsidRPr="002660BC" w:rsidRDefault="000B4BF8" w:rsidP="00B25ACE">
      <w:pPr>
        <w:ind w:firstLine="420"/>
      </w:pPr>
      <w:r w:rsidRPr="002660BC">
        <w:t>Photographs were captured with a Canon EOS 1100D digital single-lens reflex camera fitted with a Canon EF 100 mm f/2.8 macro lens at 1:1 magnification and a TT 560 ring flash with softbox diffuser (Canon, Tokyo, Japan).</w:t>
      </w:r>
    </w:p>
    <w:p w14:paraId="0A15FAEE" w14:textId="77777777" w:rsidR="00CC1040" w:rsidRPr="002660BC" w:rsidRDefault="000B4BF8" w:rsidP="00B25ACE">
      <w:pPr>
        <w:ind w:firstLine="420"/>
      </w:pPr>
      <w:r w:rsidRPr="002660BC">
        <w:t>Lighting and white balance. All photographs were taken in the same dental surgery under controlled ambient lighting (overhead dental light off; room lighting fixed at approximately 500 lux). A custom white-balance card (ColorChecker White Balance; X-Rite, Grand Rapids, MI, USA) was photographed at the start of every session and used to set a custom in-camera white-balance preset. A polarizing filter on the ring flash suppressed specular highlights.</w:t>
      </w:r>
    </w:p>
    <w:p w14:paraId="0848260D" w14:textId="77777777" w:rsidR="00CC1040" w:rsidRPr="002660BC" w:rsidRDefault="000B4BF8" w:rsidP="00B25ACE">
      <w:pPr>
        <w:ind w:firstLine="420"/>
      </w:pPr>
      <w:r w:rsidRPr="002660BC">
        <w:t>Camera settings (identical for all visits). Mode: manual. Aperture: f/20. Shutter speed: 1/125 s. ISO: 100. Focus: manual at 1:1 magnification. A fixed lip-retractor and a camera-to-tooth distance jig standardized framing across visits.</w:t>
      </w:r>
    </w:p>
    <w:p w14:paraId="52E86CEE" w14:textId="77777777" w:rsidR="00CC1040" w:rsidRPr="002660BC" w:rsidRDefault="000B4BF8" w:rsidP="00B25ACE">
      <w:pPr>
        <w:ind w:firstLine="420"/>
      </w:pPr>
      <w:r w:rsidRPr="002660BC">
        <w:t>Image processing pipeline. RAW files were processed with the custom white-balance profile in Lightroom Classic (Adobe, San Jose, CA, USA) and exported as uncompressed TIFF. The CIELAB L*, a*, b* coordinates were measured on the WSL region of interest and on an adjacent sound region of the same tooth (intra-tooth reference) using the color-picker tool, averaging a 25 × 25 pixel sampling window.</w:t>
      </w:r>
    </w:p>
    <w:p w14:paraId="39A7C6BF" w14:textId="77777777" w:rsidR="00CC1040" w:rsidRPr="002660BC" w:rsidRDefault="000B4BF8" w:rsidP="00B25ACE">
      <w:pPr>
        <w:ind w:firstLine="420"/>
      </w:pPr>
      <w:r w:rsidRPr="002660BC">
        <w:t>ΔE calculation. ΔE = [(ΔL*)² + (Δa*)² + (Δb*)²]½, where ΔL*, Δa* and Δb* are the coordinate differences between the WSL region of interest and the sound-enamel reference on the same tooth.</w:t>
      </w:r>
    </w:p>
    <w:p w14:paraId="1EE46FF1" w14:textId="77777777" w:rsidR="00F412A7" w:rsidRPr="002660BC" w:rsidRDefault="00F412A7" w:rsidP="000B4BF8">
      <w:pPr>
        <w:ind w:firstLine="420"/>
      </w:pPr>
    </w:p>
    <w:p w14:paraId="74805085" w14:textId="21C98E4F" w:rsidR="00CC1040" w:rsidRPr="002660BC" w:rsidRDefault="00B25ACE" w:rsidP="00235B1F">
      <w:pPr>
        <w:pStyle w:val="1"/>
      </w:pPr>
      <w:r w:rsidRPr="002660BC">
        <w:t xml:space="preserve">Supplementary material </w:t>
      </w:r>
      <w:r w:rsidR="000B4BF8" w:rsidRPr="002660BC">
        <w:t>5. Inter-examiner reliability</w:t>
      </w:r>
    </w:p>
    <w:p w14:paraId="799DF4ED" w14:textId="0BA4692E" w:rsidR="00CC1040" w:rsidRPr="002660BC" w:rsidRDefault="000B4BF8" w:rsidP="00235B1F">
      <w:pPr>
        <w:ind w:firstLine="420"/>
      </w:pPr>
      <w:r w:rsidRPr="002660BC">
        <w:t>Prior to the trial, all assessors and investigators participated in a structured calibration session using 20 representative clinical cases not included in the study (</w:t>
      </w:r>
      <w:r w:rsidRPr="002660BC">
        <w:rPr>
          <w:b/>
          <w:bCs/>
        </w:rPr>
        <w:t>Supplementary Table 5</w:t>
      </w:r>
      <w:r w:rsidRPr="002660BC">
        <w:t>).</w:t>
      </w:r>
    </w:p>
    <w:p w14:paraId="3BCA169E" w14:textId="4C652FFC" w:rsidR="00CC1040" w:rsidRPr="002660BC" w:rsidRDefault="000B4BF8" w:rsidP="00B25ACE">
      <w:pPr>
        <w:pStyle w:val="af0"/>
      </w:pPr>
      <w:r w:rsidRPr="002660BC">
        <w:rPr>
          <w:bCs/>
        </w:rPr>
        <w:t xml:space="preserve">Supplementary Table 5. </w:t>
      </w:r>
      <w:r w:rsidRPr="002660BC">
        <w:t>Inter-examiner reliability.</w:t>
      </w:r>
    </w:p>
    <w:tbl>
      <w:tblPr>
        <w:tblStyle w:val="afd"/>
        <w:tblW w:w="5000" w:type="pct"/>
        <w:jc w:val="center"/>
        <w:tblLook w:val="04A0" w:firstRow="1" w:lastRow="0" w:firstColumn="1" w:lastColumn="0" w:noHBand="0" w:noVBand="1"/>
      </w:tblPr>
      <w:tblGrid>
        <w:gridCol w:w="2846"/>
        <w:gridCol w:w="3240"/>
        <w:gridCol w:w="1533"/>
        <w:gridCol w:w="2627"/>
      </w:tblGrid>
      <w:tr w:rsidR="002660BC" w:rsidRPr="002660BC" w14:paraId="66CFD99B" w14:textId="77777777" w:rsidTr="000B4BF8">
        <w:trPr>
          <w:trHeight w:val="283"/>
          <w:jc w:val="center"/>
        </w:trPr>
        <w:tc>
          <w:tcPr>
            <w:tcW w:w="1389" w:type="pct"/>
            <w:vAlign w:val="center"/>
          </w:tcPr>
          <w:p w14:paraId="52D2823D" w14:textId="77777777" w:rsidR="00CC1040" w:rsidRPr="002660BC" w:rsidRDefault="000B4BF8" w:rsidP="000B4BF8">
            <w:pPr>
              <w:ind w:firstLineChars="0" w:firstLine="0"/>
              <w:jc w:val="left"/>
            </w:pPr>
            <w:r w:rsidRPr="002660BC">
              <w:rPr>
                <w:rFonts w:ascii="Times New Roman" w:hAnsi="Times New Roman"/>
              </w:rPr>
              <w:t>Outcome</w:t>
            </w:r>
          </w:p>
        </w:tc>
        <w:tc>
          <w:tcPr>
            <w:tcW w:w="1581" w:type="pct"/>
            <w:vAlign w:val="center"/>
          </w:tcPr>
          <w:p w14:paraId="70DB4C01" w14:textId="77777777" w:rsidR="00CC1040" w:rsidRPr="002660BC" w:rsidRDefault="000B4BF8" w:rsidP="00B25ACE">
            <w:pPr>
              <w:ind w:firstLineChars="0" w:firstLine="0"/>
              <w:jc w:val="center"/>
            </w:pPr>
            <w:r w:rsidRPr="002660BC">
              <w:rPr>
                <w:rFonts w:ascii="Times New Roman" w:hAnsi="Times New Roman"/>
              </w:rPr>
              <w:t>Statistic</w:t>
            </w:r>
          </w:p>
        </w:tc>
        <w:tc>
          <w:tcPr>
            <w:tcW w:w="748" w:type="pct"/>
            <w:vAlign w:val="center"/>
          </w:tcPr>
          <w:p w14:paraId="27FFA725" w14:textId="77777777" w:rsidR="00CC1040" w:rsidRPr="002660BC" w:rsidRDefault="000B4BF8" w:rsidP="00B25ACE">
            <w:pPr>
              <w:ind w:firstLineChars="0" w:firstLine="0"/>
              <w:jc w:val="center"/>
            </w:pPr>
            <w:r w:rsidRPr="002660BC">
              <w:rPr>
                <w:rFonts w:ascii="Times New Roman" w:hAnsi="Times New Roman"/>
              </w:rPr>
              <w:t>Value</w:t>
            </w:r>
          </w:p>
        </w:tc>
        <w:tc>
          <w:tcPr>
            <w:tcW w:w="1282" w:type="pct"/>
            <w:vAlign w:val="center"/>
          </w:tcPr>
          <w:p w14:paraId="15BBF5C2" w14:textId="77777777" w:rsidR="00CC1040" w:rsidRPr="002660BC" w:rsidRDefault="000B4BF8" w:rsidP="00B25ACE">
            <w:pPr>
              <w:ind w:firstLineChars="0" w:firstLine="0"/>
              <w:jc w:val="center"/>
            </w:pPr>
            <w:r w:rsidRPr="002660BC">
              <w:rPr>
                <w:rFonts w:ascii="Times New Roman" w:hAnsi="Times New Roman"/>
              </w:rPr>
              <w:t>95% CI</w:t>
            </w:r>
          </w:p>
        </w:tc>
      </w:tr>
      <w:tr w:rsidR="002660BC" w:rsidRPr="002660BC" w14:paraId="3B244878" w14:textId="77777777" w:rsidTr="000B4BF8">
        <w:trPr>
          <w:trHeight w:val="283"/>
          <w:jc w:val="center"/>
        </w:trPr>
        <w:tc>
          <w:tcPr>
            <w:tcW w:w="1389" w:type="pct"/>
            <w:vAlign w:val="center"/>
          </w:tcPr>
          <w:p w14:paraId="4EDC101C" w14:textId="77777777" w:rsidR="00CC1040" w:rsidRPr="002660BC" w:rsidRDefault="000B4BF8" w:rsidP="000B4BF8">
            <w:pPr>
              <w:ind w:firstLineChars="0" w:firstLine="0"/>
              <w:jc w:val="left"/>
            </w:pPr>
            <w:r w:rsidRPr="002660BC">
              <w:rPr>
                <w:rFonts w:ascii="Times New Roman" w:hAnsi="Times New Roman"/>
              </w:rPr>
              <w:t>ICDAS II</w:t>
            </w:r>
          </w:p>
        </w:tc>
        <w:tc>
          <w:tcPr>
            <w:tcW w:w="1581" w:type="pct"/>
            <w:vAlign w:val="center"/>
          </w:tcPr>
          <w:p w14:paraId="6B62E53A" w14:textId="77777777" w:rsidR="00CC1040" w:rsidRPr="002660BC" w:rsidRDefault="000B4BF8" w:rsidP="00B25ACE">
            <w:pPr>
              <w:ind w:firstLineChars="0" w:firstLine="0"/>
              <w:jc w:val="center"/>
            </w:pPr>
            <w:r w:rsidRPr="002660BC">
              <w:rPr>
                <w:rFonts w:ascii="Times New Roman" w:hAnsi="Times New Roman"/>
              </w:rPr>
              <w:t>Weighted Cohen kappa</w:t>
            </w:r>
          </w:p>
        </w:tc>
        <w:tc>
          <w:tcPr>
            <w:tcW w:w="748" w:type="pct"/>
            <w:vAlign w:val="center"/>
          </w:tcPr>
          <w:p w14:paraId="4C00C0DB" w14:textId="77777777" w:rsidR="00CC1040" w:rsidRPr="002660BC" w:rsidRDefault="000B4BF8" w:rsidP="00B25ACE">
            <w:pPr>
              <w:ind w:firstLineChars="0" w:firstLine="0"/>
              <w:jc w:val="center"/>
            </w:pPr>
            <w:r w:rsidRPr="002660BC">
              <w:rPr>
                <w:rFonts w:ascii="Times New Roman" w:hAnsi="Times New Roman"/>
              </w:rPr>
              <w:t>0.87</w:t>
            </w:r>
          </w:p>
        </w:tc>
        <w:tc>
          <w:tcPr>
            <w:tcW w:w="1282" w:type="pct"/>
            <w:vAlign w:val="center"/>
          </w:tcPr>
          <w:p w14:paraId="53F362DB" w14:textId="77777777" w:rsidR="00CC1040" w:rsidRPr="002660BC" w:rsidRDefault="000B4BF8" w:rsidP="00B25ACE">
            <w:pPr>
              <w:ind w:firstLineChars="0" w:firstLine="0"/>
              <w:jc w:val="center"/>
            </w:pPr>
            <w:r w:rsidRPr="002660BC">
              <w:rPr>
                <w:rFonts w:ascii="Times New Roman" w:hAnsi="Times New Roman"/>
              </w:rPr>
              <w:t>0.81 to 0.93</w:t>
            </w:r>
          </w:p>
        </w:tc>
      </w:tr>
      <w:tr w:rsidR="002660BC" w:rsidRPr="002660BC" w14:paraId="472B8740" w14:textId="77777777" w:rsidTr="000B4BF8">
        <w:trPr>
          <w:trHeight w:val="283"/>
          <w:jc w:val="center"/>
        </w:trPr>
        <w:tc>
          <w:tcPr>
            <w:tcW w:w="1389" w:type="pct"/>
            <w:vAlign w:val="center"/>
          </w:tcPr>
          <w:p w14:paraId="79FD066C" w14:textId="77777777" w:rsidR="00CC1040" w:rsidRPr="002660BC" w:rsidRDefault="000B4BF8" w:rsidP="000B4BF8">
            <w:pPr>
              <w:ind w:firstLineChars="0" w:firstLine="0"/>
              <w:jc w:val="left"/>
            </w:pPr>
            <w:r w:rsidRPr="002660BC">
              <w:rPr>
                <w:rFonts w:ascii="Times New Roman" w:hAnsi="Times New Roman"/>
              </w:rPr>
              <w:t>DIAGNOdent</w:t>
            </w:r>
          </w:p>
        </w:tc>
        <w:tc>
          <w:tcPr>
            <w:tcW w:w="1581" w:type="pct"/>
            <w:vAlign w:val="center"/>
          </w:tcPr>
          <w:p w14:paraId="7AEC4D79" w14:textId="77777777" w:rsidR="00CC1040" w:rsidRPr="002660BC" w:rsidRDefault="000B4BF8" w:rsidP="00B25ACE">
            <w:pPr>
              <w:ind w:firstLineChars="0" w:firstLine="0"/>
              <w:jc w:val="center"/>
            </w:pPr>
            <w:r w:rsidRPr="002660BC">
              <w:rPr>
                <w:rFonts w:ascii="Times New Roman" w:hAnsi="Times New Roman"/>
              </w:rPr>
              <w:t>Intraclass correlation coefficient</w:t>
            </w:r>
          </w:p>
        </w:tc>
        <w:tc>
          <w:tcPr>
            <w:tcW w:w="748" w:type="pct"/>
            <w:vAlign w:val="center"/>
          </w:tcPr>
          <w:p w14:paraId="56651F0E" w14:textId="77777777" w:rsidR="00CC1040" w:rsidRPr="002660BC" w:rsidRDefault="000B4BF8" w:rsidP="00B25ACE">
            <w:pPr>
              <w:ind w:firstLineChars="0" w:firstLine="0"/>
              <w:jc w:val="center"/>
            </w:pPr>
            <w:r w:rsidRPr="002660BC">
              <w:rPr>
                <w:rFonts w:ascii="Times New Roman" w:hAnsi="Times New Roman"/>
              </w:rPr>
              <w:t>0.94</w:t>
            </w:r>
          </w:p>
        </w:tc>
        <w:tc>
          <w:tcPr>
            <w:tcW w:w="1282" w:type="pct"/>
            <w:vAlign w:val="center"/>
          </w:tcPr>
          <w:p w14:paraId="00653EEC" w14:textId="77777777" w:rsidR="00CC1040" w:rsidRPr="002660BC" w:rsidRDefault="000B4BF8" w:rsidP="00B25ACE">
            <w:pPr>
              <w:ind w:firstLineChars="0" w:firstLine="0"/>
              <w:jc w:val="center"/>
            </w:pPr>
            <w:r w:rsidRPr="002660BC">
              <w:rPr>
                <w:rFonts w:ascii="Times New Roman" w:hAnsi="Times New Roman"/>
              </w:rPr>
              <w:t>0.91 to 0.97</w:t>
            </w:r>
          </w:p>
        </w:tc>
      </w:tr>
      <w:tr w:rsidR="002660BC" w:rsidRPr="002660BC" w14:paraId="7C9D15DA" w14:textId="77777777" w:rsidTr="000B4BF8">
        <w:trPr>
          <w:trHeight w:val="283"/>
          <w:jc w:val="center"/>
        </w:trPr>
        <w:tc>
          <w:tcPr>
            <w:tcW w:w="1389" w:type="pct"/>
            <w:vAlign w:val="center"/>
          </w:tcPr>
          <w:p w14:paraId="6BF07FD6" w14:textId="77777777" w:rsidR="00CC1040" w:rsidRPr="002660BC" w:rsidRDefault="000B4BF8" w:rsidP="000B4BF8">
            <w:pPr>
              <w:ind w:firstLineChars="0" w:firstLine="0"/>
              <w:jc w:val="left"/>
            </w:pPr>
            <w:r w:rsidRPr="002660BC">
              <w:rPr>
                <w:rFonts w:ascii="Times New Roman" w:hAnsi="Times New Roman"/>
              </w:rPr>
              <w:t>ΔE (CIELAB)</w:t>
            </w:r>
          </w:p>
        </w:tc>
        <w:tc>
          <w:tcPr>
            <w:tcW w:w="1581" w:type="pct"/>
            <w:vAlign w:val="center"/>
          </w:tcPr>
          <w:p w14:paraId="046517F4" w14:textId="77777777" w:rsidR="00CC1040" w:rsidRPr="002660BC" w:rsidRDefault="000B4BF8" w:rsidP="00B25ACE">
            <w:pPr>
              <w:ind w:firstLineChars="0" w:firstLine="0"/>
              <w:jc w:val="center"/>
            </w:pPr>
            <w:r w:rsidRPr="002660BC">
              <w:rPr>
                <w:rFonts w:ascii="Times New Roman" w:hAnsi="Times New Roman"/>
              </w:rPr>
              <w:t>Single photographer</w:t>
            </w:r>
          </w:p>
        </w:tc>
        <w:tc>
          <w:tcPr>
            <w:tcW w:w="748" w:type="pct"/>
            <w:vAlign w:val="center"/>
          </w:tcPr>
          <w:p w14:paraId="35548BA3" w14:textId="77777777" w:rsidR="00CC1040" w:rsidRPr="002660BC" w:rsidRDefault="000B4BF8" w:rsidP="00B25ACE">
            <w:pPr>
              <w:ind w:firstLineChars="0" w:firstLine="0"/>
              <w:jc w:val="center"/>
            </w:pPr>
            <w:r w:rsidRPr="002660BC">
              <w:rPr>
                <w:rFonts w:ascii="Times New Roman" w:hAnsi="Times New Roman"/>
              </w:rPr>
              <w:t>—</w:t>
            </w:r>
          </w:p>
        </w:tc>
        <w:tc>
          <w:tcPr>
            <w:tcW w:w="1282" w:type="pct"/>
            <w:vAlign w:val="center"/>
          </w:tcPr>
          <w:p w14:paraId="077DB533" w14:textId="77777777" w:rsidR="00CC1040" w:rsidRPr="002660BC" w:rsidRDefault="000B4BF8" w:rsidP="00B25ACE">
            <w:pPr>
              <w:ind w:firstLineChars="0" w:firstLine="0"/>
              <w:jc w:val="center"/>
            </w:pPr>
            <w:r w:rsidRPr="002660BC">
              <w:rPr>
                <w:rFonts w:ascii="Times New Roman" w:hAnsi="Times New Roman"/>
              </w:rPr>
              <w:t>—</w:t>
            </w:r>
          </w:p>
        </w:tc>
      </w:tr>
    </w:tbl>
    <w:p w14:paraId="315C5278" w14:textId="1B4D55E0" w:rsidR="00CC1040" w:rsidRPr="002660BC" w:rsidRDefault="000B4BF8" w:rsidP="000B4BF8">
      <w:pPr>
        <w:pStyle w:val="af1"/>
      </w:pPr>
      <w:r w:rsidRPr="002660BC">
        <w:t>CI, confidence interval; ICDAS, International Caries Detection and Assessment System; ΔE, color difference</w:t>
      </w:r>
      <w:r w:rsidR="00356CB0" w:rsidRPr="002660BC">
        <w:t xml:space="preserve">; CIELAB, </w:t>
      </w:r>
      <w:r w:rsidRPr="002660BC">
        <w:t>CIE L*a*b* color space.</w:t>
      </w:r>
    </w:p>
    <w:p w14:paraId="3E087B32" w14:textId="062B501D" w:rsidR="00B25ACE" w:rsidRPr="002660BC" w:rsidRDefault="00B25ACE" w:rsidP="000B4BF8">
      <w:pPr>
        <w:ind w:firstLine="420"/>
        <w:rPr>
          <w:rFonts w:eastAsiaTheme="minorEastAsia"/>
        </w:rPr>
      </w:pPr>
    </w:p>
    <w:p w14:paraId="46AD0C20" w14:textId="77777777" w:rsidR="000B4BF8" w:rsidRPr="002660BC" w:rsidRDefault="000B4BF8" w:rsidP="000B4BF8">
      <w:pPr>
        <w:ind w:firstLine="420"/>
        <w:rPr>
          <w:rFonts w:eastAsiaTheme="minorEastAsia"/>
        </w:rPr>
      </w:pPr>
    </w:p>
    <w:sectPr w:rsidR="000B4BF8" w:rsidRPr="002660BC" w:rsidSect="00F412A7">
      <w:headerReference w:type="even" r:id="rId7"/>
      <w:headerReference w:type="default" r:id="rId8"/>
      <w:footerReference w:type="even" r:id="rId9"/>
      <w:footerReference w:type="default" r:id="rId10"/>
      <w:headerReference w:type="first" r:id="rId11"/>
      <w:footerReference w:type="first" r:id="rId12"/>
      <w:pgSz w:w="12240" w:h="15840"/>
      <w:pgMar w:top="992" w:right="992" w:bottom="992" w:left="992" w:header="283" w:footer="11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8C2DC" w14:textId="77777777" w:rsidR="009604BE" w:rsidRDefault="009604BE" w:rsidP="009604BE">
      <w:pPr>
        <w:ind w:firstLine="420"/>
      </w:pPr>
      <w:r>
        <w:separator/>
      </w:r>
    </w:p>
  </w:endnote>
  <w:endnote w:type="continuationSeparator" w:id="0">
    <w:p w14:paraId="2B0E826B" w14:textId="77777777" w:rsidR="009604BE" w:rsidRDefault="009604BE" w:rsidP="009604BE">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NimbusRomNo9L">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D4B0A" w14:textId="77777777" w:rsidR="00F412A7" w:rsidRDefault="00F412A7">
    <w:pPr>
      <w:pStyle w:val="a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6267670"/>
      <w:docPartObj>
        <w:docPartGallery w:val="Page Numbers (Bottom of Page)"/>
        <w:docPartUnique/>
      </w:docPartObj>
    </w:sdtPr>
    <w:sdtEndPr/>
    <w:sdtContent>
      <w:p w14:paraId="0C654FD8" w14:textId="77D8B6C4" w:rsidR="00F412A7" w:rsidRPr="000B4BF8" w:rsidRDefault="000B4BF8" w:rsidP="000B4BF8">
        <w:pPr>
          <w:pStyle w:val="ae"/>
          <w:ind w:firstLine="360"/>
          <w:jc w:val="center"/>
        </w:pPr>
        <w:r>
          <w:fldChar w:fldCharType="begin"/>
        </w:r>
        <w:r>
          <w:instrText>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ACB38" w14:textId="77777777" w:rsidR="00F412A7" w:rsidRDefault="00F412A7">
    <w:pPr>
      <w:pStyle w:val="ae"/>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48C40" w14:textId="77777777" w:rsidR="009604BE" w:rsidRDefault="009604BE" w:rsidP="009604BE">
      <w:pPr>
        <w:ind w:firstLine="420"/>
      </w:pPr>
      <w:r>
        <w:separator/>
      </w:r>
    </w:p>
  </w:footnote>
  <w:footnote w:type="continuationSeparator" w:id="0">
    <w:p w14:paraId="33E1CA04" w14:textId="77777777" w:rsidR="009604BE" w:rsidRDefault="009604BE" w:rsidP="009604BE">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4B617" w14:textId="77777777" w:rsidR="00F412A7" w:rsidRDefault="00F412A7">
    <w:pPr>
      <w:pStyle w:val="ac"/>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8871F" w14:textId="77777777" w:rsidR="00F412A7" w:rsidRDefault="00F412A7" w:rsidP="00F412A7">
    <w:pPr>
      <w:pStyle w:val="ac"/>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60531" w14:textId="77777777" w:rsidR="00F412A7" w:rsidRDefault="00F412A7">
    <w:pPr>
      <w:pStyle w:val="ac"/>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661A69"/>
    <w:multiLevelType w:val="multilevel"/>
    <w:tmpl w:val="691CBC1E"/>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6A160E6C"/>
    <w:multiLevelType w:val="hybridMultilevel"/>
    <w:tmpl w:val="149E77E4"/>
    <w:lvl w:ilvl="0" w:tplc="EC3A119E">
      <w:start w:val="1"/>
      <w:numFmt w:val="bullet"/>
      <w:lvlText w:val="●"/>
      <w:lvlJc w:val="left"/>
      <w:pPr>
        <w:ind w:left="720" w:hanging="360"/>
      </w:pPr>
    </w:lvl>
    <w:lvl w:ilvl="1" w:tplc="3E68A326">
      <w:start w:val="1"/>
      <w:numFmt w:val="bullet"/>
      <w:lvlText w:val="○"/>
      <w:lvlJc w:val="left"/>
      <w:pPr>
        <w:ind w:left="1440" w:hanging="360"/>
      </w:pPr>
    </w:lvl>
    <w:lvl w:ilvl="2" w:tplc="5F0E1E40">
      <w:start w:val="1"/>
      <w:numFmt w:val="bullet"/>
      <w:lvlText w:val="■"/>
      <w:lvlJc w:val="left"/>
      <w:pPr>
        <w:ind w:left="2160" w:hanging="360"/>
      </w:pPr>
    </w:lvl>
    <w:lvl w:ilvl="3" w:tplc="DA06DA78">
      <w:start w:val="1"/>
      <w:numFmt w:val="bullet"/>
      <w:lvlText w:val="●"/>
      <w:lvlJc w:val="left"/>
      <w:pPr>
        <w:ind w:left="2880" w:hanging="360"/>
      </w:pPr>
    </w:lvl>
    <w:lvl w:ilvl="4" w:tplc="C61237B8">
      <w:start w:val="1"/>
      <w:numFmt w:val="bullet"/>
      <w:lvlText w:val="○"/>
      <w:lvlJc w:val="left"/>
      <w:pPr>
        <w:ind w:left="3600" w:hanging="360"/>
      </w:pPr>
    </w:lvl>
    <w:lvl w:ilvl="5" w:tplc="F95AA9B8">
      <w:start w:val="1"/>
      <w:numFmt w:val="bullet"/>
      <w:lvlText w:val="■"/>
      <w:lvlJc w:val="left"/>
      <w:pPr>
        <w:ind w:left="4320" w:hanging="360"/>
      </w:pPr>
    </w:lvl>
    <w:lvl w:ilvl="6" w:tplc="73D8A768">
      <w:start w:val="1"/>
      <w:numFmt w:val="bullet"/>
      <w:lvlText w:val="●"/>
      <w:lvlJc w:val="left"/>
      <w:pPr>
        <w:ind w:left="5040" w:hanging="360"/>
      </w:pPr>
    </w:lvl>
    <w:lvl w:ilvl="7" w:tplc="D12658E8">
      <w:start w:val="1"/>
      <w:numFmt w:val="bullet"/>
      <w:lvlText w:val="●"/>
      <w:lvlJc w:val="left"/>
      <w:pPr>
        <w:ind w:left="5760" w:hanging="360"/>
      </w:pPr>
    </w:lvl>
    <w:lvl w:ilvl="8" w:tplc="3E9AFE90">
      <w:start w:val="1"/>
      <w:numFmt w:val="bullet"/>
      <w:lvlText w:val="●"/>
      <w:lvlJc w:val="left"/>
      <w:pPr>
        <w:ind w:left="6480" w:hanging="360"/>
      </w:pPr>
    </w:lvl>
  </w:abstractNum>
  <w:num w:numId="1">
    <w:abstractNumId w:val="1"/>
    <w:lvlOverride w:ilvl="0">
      <w:startOverride w:val="1"/>
    </w:lvlOverride>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040"/>
    <w:rsid w:val="000B4BF8"/>
    <w:rsid w:val="002045B3"/>
    <w:rsid w:val="00235B1F"/>
    <w:rsid w:val="002660BC"/>
    <w:rsid w:val="00356CB0"/>
    <w:rsid w:val="00495A8B"/>
    <w:rsid w:val="004A4EFF"/>
    <w:rsid w:val="004D0DF1"/>
    <w:rsid w:val="005B5204"/>
    <w:rsid w:val="005B5AAA"/>
    <w:rsid w:val="005F78D5"/>
    <w:rsid w:val="006C4AE9"/>
    <w:rsid w:val="00795C69"/>
    <w:rsid w:val="008579F0"/>
    <w:rsid w:val="00922A47"/>
    <w:rsid w:val="00922B23"/>
    <w:rsid w:val="009604BE"/>
    <w:rsid w:val="00B25ACE"/>
    <w:rsid w:val="00BE0A58"/>
    <w:rsid w:val="00CC1040"/>
    <w:rsid w:val="00F412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244DB3"/>
  <w15:docId w15:val="{ABE60606-76BE-4D57-8C1C-E8EBDDE03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04BE"/>
    <w:pPr>
      <w:widowControl w:val="0"/>
      <w:ind w:firstLineChars="200" w:firstLine="200"/>
      <w:jc w:val="both"/>
    </w:pPr>
    <w:rPr>
      <w:rFonts w:eastAsia="Times New Roman"/>
      <w:kern w:val="2"/>
      <w:sz w:val="21"/>
      <w:szCs w:val="21"/>
    </w:rPr>
  </w:style>
  <w:style w:type="paragraph" w:styleId="1">
    <w:name w:val="heading 1"/>
    <w:aliases w:val="一级标题"/>
    <w:basedOn w:val="a"/>
    <w:next w:val="a"/>
    <w:link w:val="10"/>
    <w:autoRedefine/>
    <w:uiPriority w:val="1"/>
    <w:qFormat/>
    <w:rsid w:val="00235B1F"/>
    <w:pPr>
      <w:autoSpaceDE w:val="0"/>
      <w:autoSpaceDN w:val="0"/>
      <w:adjustRightInd w:val="0"/>
      <w:spacing w:beforeLines="100" w:before="240" w:afterLines="100" w:after="240"/>
      <w:ind w:firstLineChars="0" w:firstLine="0"/>
      <w:jc w:val="center"/>
      <w:outlineLvl w:val="0"/>
    </w:pPr>
    <w:rPr>
      <w:rFonts w:cs="Book Antiqua"/>
      <w:b/>
      <w:bCs/>
      <w:kern w:val="0"/>
      <w:sz w:val="24"/>
      <w:szCs w:val="20"/>
    </w:rPr>
  </w:style>
  <w:style w:type="paragraph" w:styleId="2">
    <w:name w:val="heading 2"/>
    <w:aliases w:val="二级标题"/>
    <w:basedOn w:val="a"/>
    <w:next w:val="a"/>
    <w:link w:val="20"/>
    <w:autoRedefine/>
    <w:uiPriority w:val="9"/>
    <w:unhideWhenUsed/>
    <w:qFormat/>
    <w:rsid w:val="009604BE"/>
    <w:pPr>
      <w:keepNext/>
      <w:keepLines/>
      <w:spacing w:beforeLines="50" w:before="156" w:afterLines="50" w:after="156"/>
      <w:ind w:firstLineChars="0" w:firstLine="0"/>
      <w:outlineLvl w:val="1"/>
    </w:pPr>
    <w:rPr>
      <w:b/>
      <w:bCs/>
      <w:i/>
      <w:sz w:val="22"/>
    </w:rPr>
  </w:style>
  <w:style w:type="paragraph" w:styleId="3">
    <w:name w:val="heading 3"/>
    <w:aliases w:val="三级标题"/>
    <w:basedOn w:val="a"/>
    <w:next w:val="a"/>
    <w:link w:val="30"/>
    <w:autoRedefine/>
    <w:uiPriority w:val="9"/>
    <w:unhideWhenUsed/>
    <w:qFormat/>
    <w:rsid w:val="009604BE"/>
    <w:pPr>
      <w:keepNext/>
      <w:keepLines/>
      <w:spacing w:beforeLines="50" w:before="156" w:afterLines="50" w:after="156"/>
      <w:ind w:firstLineChars="0" w:firstLine="0"/>
      <w:outlineLvl w:val="2"/>
    </w:pPr>
    <w:rPr>
      <w:bCs/>
      <w:i/>
      <w:sz w:val="22"/>
      <w:szCs w:val="32"/>
    </w:rPr>
  </w:style>
  <w:style w:type="paragraph" w:styleId="4">
    <w:name w:val="heading 4"/>
    <w:basedOn w:val="a"/>
    <w:next w:val="a"/>
    <w:link w:val="40"/>
    <w:uiPriority w:val="9"/>
    <w:qFormat/>
    <w:rsid w:val="009604BE"/>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9604BE"/>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9604BE"/>
    <w:pPr>
      <w:keepNext/>
      <w:keepLines/>
      <w:numPr>
        <w:ilvl w:val="5"/>
        <w:numId w:val="9"/>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9604BE"/>
    <w:pPr>
      <w:keepNext/>
      <w:keepLines/>
      <w:numPr>
        <w:ilvl w:val="6"/>
        <w:numId w:val="9"/>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rsid w:val="009604BE"/>
    <w:pPr>
      <w:keepNext/>
      <w:keepLines/>
      <w:numPr>
        <w:ilvl w:val="7"/>
        <w:numId w:val="9"/>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rsid w:val="009604BE"/>
    <w:pPr>
      <w:keepNext/>
      <w:keepLines/>
      <w:numPr>
        <w:ilvl w:val="8"/>
        <w:numId w:val="9"/>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1">
    <w:name w:val="要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本 字符"/>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尾注文本 字符"/>
    <w:link w:val="aa"/>
    <w:uiPriority w:val="99"/>
    <w:semiHidden/>
    <w:unhideWhenUsed/>
    <w:rPr>
      <w:sz w:val="20"/>
      <w:szCs w:val="20"/>
    </w:rPr>
  </w:style>
  <w:style w:type="paragraph" w:styleId="ac">
    <w:name w:val="header"/>
    <w:basedOn w:val="a"/>
    <w:link w:val="ad"/>
    <w:uiPriority w:val="99"/>
    <w:unhideWhenUsed/>
    <w:rsid w:val="009604BE"/>
    <w:pPr>
      <w:pBdr>
        <w:bottom w:val="single" w:sz="6" w:space="1" w:color="auto"/>
      </w:pBdr>
      <w:tabs>
        <w:tab w:val="center" w:pos="4153"/>
        <w:tab w:val="right" w:pos="8306"/>
      </w:tabs>
      <w:snapToGrid w:val="0"/>
      <w:jc w:val="center"/>
    </w:pPr>
    <w:rPr>
      <w:sz w:val="18"/>
      <w:szCs w:val="18"/>
    </w:rPr>
  </w:style>
  <w:style w:type="character" w:customStyle="1" w:styleId="ad">
    <w:name w:val="页眉 字符"/>
    <w:link w:val="ac"/>
    <w:uiPriority w:val="99"/>
    <w:rsid w:val="009604BE"/>
    <w:rPr>
      <w:rFonts w:eastAsia="Times New Roman"/>
      <w:kern w:val="2"/>
      <w:sz w:val="18"/>
      <w:szCs w:val="18"/>
    </w:rPr>
  </w:style>
  <w:style w:type="paragraph" w:styleId="ae">
    <w:name w:val="footer"/>
    <w:basedOn w:val="a"/>
    <w:link w:val="af"/>
    <w:uiPriority w:val="99"/>
    <w:unhideWhenUsed/>
    <w:rsid w:val="009604BE"/>
    <w:pPr>
      <w:tabs>
        <w:tab w:val="center" w:pos="4153"/>
        <w:tab w:val="right" w:pos="8306"/>
      </w:tabs>
      <w:snapToGrid w:val="0"/>
      <w:jc w:val="left"/>
    </w:pPr>
    <w:rPr>
      <w:sz w:val="18"/>
      <w:szCs w:val="18"/>
    </w:rPr>
  </w:style>
  <w:style w:type="character" w:customStyle="1" w:styleId="af">
    <w:name w:val="页脚 字符"/>
    <w:link w:val="ae"/>
    <w:uiPriority w:val="99"/>
    <w:rsid w:val="009604BE"/>
    <w:rPr>
      <w:rFonts w:eastAsia="Times New Roman"/>
      <w:kern w:val="2"/>
      <w:sz w:val="18"/>
      <w:szCs w:val="18"/>
    </w:rPr>
  </w:style>
  <w:style w:type="character" w:customStyle="1" w:styleId="10">
    <w:name w:val="标题 1 字符"/>
    <w:aliases w:val="一级标题 字符"/>
    <w:link w:val="1"/>
    <w:uiPriority w:val="1"/>
    <w:rsid w:val="00235B1F"/>
    <w:rPr>
      <w:rFonts w:eastAsia="Times New Roman" w:cs="Book Antiqua"/>
      <w:b/>
      <w:bCs/>
      <w:szCs w:val="20"/>
    </w:rPr>
  </w:style>
  <w:style w:type="character" w:customStyle="1" w:styleId="20">
    <w:name w:val="标题 2 字符"/>
    <w:aliases w:val="二级标题 字符"/>
    <w:link w:val="2"/>
    <w:uiPriority w:val="9"/>
    <w:rsid w:val="009604BE"/>
    <w:rPr>
      <w:rFonts w:eastAsia="Times New Roman"/>
      <w:b/>
      <w:bCs/>
      <w:i/>
      <w:kern w:val="2"/>
      <w:sz w:val="22"/>
      <w:szCs w:val="21"/>
    </w:rPr>
  </w:style>
  <w:style w:type="character" w:customStyle="1" w:styleId="30">
    <w:name w:val="标题 3 字符"/>
    <w:aliases w:val="三级标题 字符"/>
    <w:link w:val="3"/>
    <w:uiPriority w:val="9"/>
    <w:rsid w:val="009604BE"/>
    <w:rPr>
      <w:rFonts w:eastAsia="Times New Roman"/>
      <w:bCs/>
      <w:i/>
      <w:kern w:val="2"/>
      <w:sz w:val="22"/>
      <w:szCs w:val="32"/>
    </w:rPr>
  </w:style>
  <w:style w:type="character" w:customStyle="1" w:styleId="40">
    <w:name w:val="标题 4 字符"/>
    <w:link w:val="4"/>
    <w:uiPriority w:val="9"/>
    <w:rsid w:val="009604BE"/>
    <w:rPr>
      <w:rFonts w:ascii="Calibri Light" w:eastAsia="NimbusRomNo9L" w:hAnsi="Calibri Light" w:cs="NimbusRomNo9L"/>
      <w:b/>
      <w:bCs/>
      <w:sz w:val="28"/>
      <w:szCs w:val="28"/>
    </w:rPr>
  </w:style>
  <w:style w:type="character" w:customStyle="1" w:styleId="50">
    <w:name w:val="标题 5 字符"/>
    <w:link w:val="5"/>
    <w:uiPriority w:val="9"/>
    <w:rsid w:val="009604BE"/>
    <w:rPr>
      <w:rFonts w:eastAsia="Times New Roman"/>
      <w:b/>
      <w:bCs/>
      <w:kern w:val="2"/>
      <w:sz w:val="28"/>
      <w:szCs w:val="28"/>
    </w:rPr>
  </w:style>
  <w:style w:type="character" w:customStyle="1" w:styleId="60">
    <w:name w:val="标题 6 字符"/>
    <w:link w:val="6"/>
    <w:uiPriority w:val="9"/>
    <w:rsid w:val="009604BE"/>
    <w:rPr>
      <w:rFonts w:ascii="等线 Light" w:eastAsia="等线 Light" w:hAnsi="等线 Light"/>
      <w:b/>
      <w:bCs/>
      <w:kern w:val="2"/>
    </w:rPr>
  </w:style>
  <w:style w:type="character" w:customStyle="1" w:styleId="70">
    <w:name w:val="标题 7 字符"/>
    <w:link w:val="7"/>
    <w:uiPriority w:val="9"/>
    <w:rsid w:val="009604BE"/>
    <w:rPr>
      <w:rFonts w:eastAsia="Times New Roman"/>
      <w:b/>
      <w:bCs/>
      <w:kern w:val="2"/>
    </w:rPr>
  </w:style>
  <w:style w:type="character" w:customStyle="1" w:styleId="80">
    <w:name w:val="标题 8 字符"/>
    <w:link w:val="8"/>
    <w:uiPriority w:val="9"/>
    <w:rsid w:val="009604BE"/>
    <w:rPr>
      <w:rFonts w:ascii="等线 Light" w:eastAsia="等线 Light" w:hAnsi="等线 Light"/>
      <w:kern w:val="2"/>
    </w:rPr>
  </w:style>
  <w:style w:type="character" w:customStyle="1" w:styleId="90">
    <w:name w:val="标题 9 字符"/>
    <w:link w:val="9"/>
    <w:uiPriority w:val="9"/>
    <w:semiHidden/>
    <w:rsid w:val="009604BE"/>
    <w:rPr>
      <w:rFonts w:ascii="等线 Light" w:eastAsia="等线 Light" w:hAnsi="等线 Light"/>
      <w:kern w:val="2"/>
      <w:sz w:val="21"/>
      <w:szCs w:val="21"/>
    </w:rPr>
  </w:style>
  <w:style w:type="paragraph" w:customStyle="1" w:styleId="af0">
    <w:name w:val="表题"/>
    <w:basedOn w:val="a"/>
    <w:autoRedefine/>
    <w:qFormat/>
    <w:rsid w:val="00B25ACE"/>
    <w:pPr>
      <w:spacing w:beforeLines="100" w:before="240" w:afterLines="100" w:after="240"/>
      <w:ind w:firstLineChars="0" w:firstLine="0"/>
      <w:jc w:val="center"/>
    </w:pPr>
    <w:rPr>
      <w:b/>
    </w:rPr>
  </w:style>
  <w:style w:type="paragraph" w:customStyle="1" w:styleId="af1">
    <w:name w:val="表注"/>
    <w:basedOn w:val="af0"/>
    <w:autoRedefine/>
    <w:qFormat/>
    <w:rsid w:val="00235B1F"/>
    <w:pPr>
      <w:adjustRightInd w:val="0"/>
      <w:snapToGrid w:val="0"/>
      <w:spacing w:beforeLines="0" w:before="0" w:afterLines="0" w:after="0"/>
      <w:jc w:val="both"/>
    </w:pPr>
    <w:rPr>
      <w:b w:val="0"/>
    </w:rPr>
  </w:style>
  <w:style w:type="paragraph" w:customStyle="1" w:styleId="af2">
    <w:name w:val="参考文献"/>
    <w:basedOn w:val="a"/>
    <w:autoRedefine/>
    <w:qFormat/>
    <w:rsid w:val="009604BE"/>
    <w:pPr>
      <w:ind w:left="360" w:hangingChars="200" w:hanging="360"/>
    </w:pPr>
    <w:rPr>
      <w:rFonts w:eastAsia="等线"/>
      <w:sz w:val="18"/>
      <w:szCs w:val="24"/>
    </w:rPr>
  </w:style>
  <w:style w:type="paragraph" w:customStyle="1" w:styleId="af3">
    <w:name w:val="稿件类型"/>
    <w:basedOn w:val="a"/>
    <w:autoRedefine/>
    <w:qFormat/>
    <w:rsid w:val="009604BE"/>
    <w:pPr>
      <w:ind w:firstLineChars="0" w:firstLine="0"/>
      <w:jc w:val="left"/>
    </w:pPr>
    <w:rPr>
      <w:rFonts w:eastAsia="宋体"/>
      <w:i/>
      <w:sz w:val="20"/>
    </w:rPr>
  </w:style>
  <w:style w:type="paragraph" w:customStyle="1" w:styleId="af4">
    <w:name w:val="关键词"/>
    <w:basedOn w:val="a"/>
    <w:autoRedefine/>
    <w:qFormat/>
    <w:rsid w:val="009604BE"/>
    <w:pPr>
      <w:ind w:firstLineChars="0" w:firstLine="0"/>
    </w:pPr>
    <w:rPr>
      <w:noProof/>
    </w:rPr>
  </w:style>
  <w:style w:type="paragraph" w:customStyle="1" w:styleId="af5">
    <w:name w:val="机构信息"/>
    <w:basedOn w:val="a"/>
    <w:link w:val="af6"/>
    <w:autoRedefine/>
    <w:qFormat/>
    <w:rsid w:val="009604BE"/>
    <w:pPr>
      <w:ind w:firstLineChars="0" w:firstLine="0"/>
    </w:pPr>
    <w:rPr>
      <w:i/>
    </w:rPr>
  </w:style>
  <w:style w:type="character" w:customStyle="1" w:styleId="af6">
    <w:name w:val="机构信息 字符"/>
    <w:link w:val="af5"/>
    <w:rsid w:val="009604BE"/>
    <w:rPr>
      <w:rFonts w:eastAsia="Times New Roman"/>
      <w:i/>
      <w:kern w:val="2"/>
      <w:sz w:val="21"/>
      <w:szCs w:val="21"/>
    </w:rPr>
  </w:style>
  <w:style w:type="paragraph" w:customStyle="1" w:styleId="af7">
    <w:name w:val="接收日期"/>
    <w:basedOn w:val="a"/>
    <w:autoRedefine/>
    <w:qFormat/>
    <w:rsid w:val="009604BE"/>
    <w:pPr>
      <w:ind w:firstLineChars="0" w:firstLine="0"/>
    </w:pPr>
  </w:style>
  <w:style w:type="paragraph" w:styleId="af8">
    <w:name w:val="annotation text"/>
    <w:basedOn w:val="a"/>
    <w:link w:val="af9"/>
    <w:uiPriority w:val="99"/>
    <w:unhideWhenUsed/>
    <w:rsid w:val="009604BE"/>
    <w:pPr>
      <w:ind w:firstLine="400"/>
    </w:pPr>
    <w:rPr>
      <w:kern w:val="0"/>
      <w:sz w:val="20"/>
      <w:szCs w:val="20"/>
    </w:rPr>
  </w:style>
  <w:style w:type="character" w:customStyle="1" w:styleId="af9">
    <w:name w:val="批注文字 字符"/>
    <w:basedOn w:val="a0"/>
    <w:link w:val="af8"/>
    <w:uiPriority w:val="99"/>
    <w:rsid w:val="009604BE"/>
    <w:rPr>
      <w:rFonts w:eastAsia="Times New Roman"/>
      <w:sz w:val="20"/>
      <w:szCs w:val="20"/>
    </w:rPr>
  </w:style>
  <w:style w:type="paragraph" w:styleId="afa">
    <w:name w:val="Normal (Web)"/>
    <w:basedOn w:val="a"/>
    <w:uiPriority w:val="99"/>
    <w:unhideWhenUsed/>
    <w:rsid w:val="009604BE"/>
    <w:pPr>
      <w:spacing w:before="100" w:beforeAutospacing="1" w:after="100" w:afterAutospacing="1"/>
    </w:pPr>
    <w:rPr>
      <w:lang w:eastAsia="en-US"/>
    </w:rPr>
  </w:style>
  <w:style w:type="paragraph" w:customStyle="1" w:styleId="afb">
    <w:name w:val="通讯作者"/>
    <w:basedOn w:val="a"/>
    <w:autoRedefine/>
    <w:qFormat/>
    <w:rsid w:val="009604BE"/>
    <w:pPr>
      <w:ind w:firstLineChars="0" w:firstLine="0"/>
    </w:pPr>
  </w:style>
  <w:style w:type="paragraph" w:customStyle="1" w:styleId="afc">
    <w:name w:val="图注"/>
    <w:basedOn w:val="af1"/>
    <w:autoRedefine/>
    <w:qFormat/>
    <w:rsid w:val="009604BE"/>
  </w:style>
  <w:style w:type="table" w:styleId="afd">
    <w:name w:val="Table Grid"/>
    <w:basedOn w:val="a1"/>
    <w:uiPriority w:val="59"/>
    <w:qFormat/>
    <w:rsid w:val="009604BE"/>
    <w:rPr>
      <w:rFonts w:ascii="等线" w:eastAsia="等线" w:hAnsi="等线"/>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文章标题"/>
    <w:basedOn w:val="a"/>
    <w:link w:val="aff"/>
    <w:autoRedefine/>
    <w:qFormat/>
    <w:rsid w:val="00F412A7"/>
    <w:pPr>
      <w:kinsoku w:val="0"/>
      <w:overflowPunct w:val="0"/>
      <w:autoSpaceDE w:val="0"/>
      <w:autoSpaceDN w:val="0"/>
      <w:adjustRightInd w:val="0"/>
      <w:ind w:firstLineChars="0" w:firstLine="0"/>
      <w:jc w:val="center"/>
    </w:pPr>
    <w:rPr>
      <w:b/>
      <w:bCs/>
      <w:spacing w:val="-8"/>
      <w:sz w:val="36"/>
      <w:szCs w:val="36"/>
    </w:rPr>
  </w:style>
  <w:style w:type="character" w:customStyle="1" w:styleId="aff">
    <w:name w:val="文章标题 字符"/>
    <w:link w:val="afe"/>
    <w:rsid w:val="00F412A7"/>
    <w:rPr>
      <w:rFonts w:eastAsia="Times New Roman"/>
      <w:b/>
      <w:bCs/>
      <w:spacing w:val="-8"/>
      <w:kern w:val="2"/>
      <w:sz w:val="36"/>
      <w:szCs w:val="36"/>
    </w:rPr>
  </w:style>
  <w:style w:type="paragraph" w:customStyle="1" w:styleId="aff0">
    <w:name w:val="文章内容"/>
    <w:basedOn w:val="a"/>
    <w:link w:val="aff1"/>
    <w:autoRedefine/>
    <w:rsid w:val="009604BE"/>
    <w:pPr>
      <w:ind w:firstLine="420"/>
    </w:pPr>
    <w:rPr>
      <w:color w:val="000000"/>
    </w:rPr>
  </w:style>
  <w:style w:type="character" w:customStyle="1" w:styleId="aff1">
    <w:name w:val="文章内容 字符"/>
    <w:link w:val="aff0"/>
    <w:rsid w:val="009604BE"/>
    <w:rPr>
      <w:rFonts w:eastAsia="Times New Roman"/>
      <w:color w:val="000000"/>
      <w:kern w:val="2"/>
      <w:sz w:val="21"/>
      <w:szCs w:val="21"/>
    </w:rPr>
  </w:style>
  <w:style w:type="character" w:styleId="aff2">
    <w:name w:val="line number"/>
    <w:uiPriority w:val="99"/>
    <w:semiHidden/>
    <w:unhideWhenUsed/>
    <w:rsid w:val="009604BE"/>
  </w:style>
  <w:style w:type="paragraph" w:customStyle="1" w:styleId="aff3">
    <w:name w:val="摘要"/>
    <w:basedOn w:val="a"/>
    <w:autoRedefine/>
    <w:qFormat/>
    <w:rsid w:val="009604BE"/>
    <w:pPr>
      <w:ind w:firstLineChars="0" w:firstLine="0"/>
    </w:pPr>
    <w:rPr>
      <w:noProof/>
    </w:rPr>
  </w:style>
  <w:style w:type="character" w:styleId="aff4">
    <w:name w:val="Placeholder Text"/>
    <w:uiPriority w:val="99"/>
    <w:semiHidden/>
    <w:rsid w:val="009604BE"/>
    <w:rPr>
      <w:color w:val="808080"/>
    </w:rPr>
  </w:style>
  <w:style w:type="paragraph" w:styleId="aff5">
    <w:name w:val="Body Text"/>
    <w:basedOn w:val="a"/>
    <w:link w:val="aff6"/>
    <w:autoRedefine/>
    <w:uiPriority w:val="1"/>
    <w:qFormat/>
    <w:rsid w:val="009604BE"/>
    <w:pPr>
      <w:autoSpaceDE w:val="0"/>
      <w:autoSpaceDN w:val="0"/>
      <w:adjustRightInd w:val="0"/>
      <w:ind w:firstLine="420"/>
    </w:pPr>
    <w:rPr>
      <w:kern w:val="0"/>
    </w:rPr>
  </w:style>
  <w:style w:type="character" w:customStyle="1" w:styleId="aff6">
    <w:name w:val="正文文本 字符"/>
    <w:link w:val="aff5"/>
    <w:uiPriority w:val="1"/>
    <w:rsid w:val="009604BE"/>
    <w:rPr>
      <w:rFonts w:eastAsia="Times New Roman"/>
      <w:sz w:val="21"/>
      <w:szCs w:val="21"/>
    </w:rPr>
  </w:style>
  <w:style w:type="paragraph" w:customStyle="1" w:styleId="aff7">
    <w:name w:val="致谢部分"/>
    <w:basedOn w:val="aff5"/>
    <w:link w:val="aff8"/>
    <w:autoRedefine/>
    <w:qFormat/>
    <w:rsid w:val="009604BE"/>
    <w:pPr>
      <w:ind w:firstLineChars="0" w:firstLine="0"/>
    </w:pPr>
    <w:rPr>
      <w:b/>
      <w:sz w:val="24"/>
      <w:szCs w:val="24"/>
    </w:rPr>
  </w:style>
  <w:style w:type="character" w:customStyle="1" w:styleId="aff8">
    <w:name w:val="致谢部分 字符"/>
    <w:link w:val="aff7"/>
    <w:rsid w:val="009604BE"/>
    <w:rPr>
      <w:rFonts w:eastAsia="Times New Roman"/>
      <w:b/>
    </w:rPr>
  </w:style>
  <w:style w:type="paragraph" w:customStyle="1" w:styleId="aff9">
    <w:name w:val="作者信息"/>
    <w:basedOn w:val="a"/>
    <w:autoRedefine/>
    <w:qFormat/>
    <w:rsid w:val="009604BE"/>
    <w:pPr>
      <w:ind w:firstLineChars="0" w:firstLine="0"/>
    </w:pPr>
  </w:style>
  <w:style w:type="character" w:styleId="affa">
    <w:name w:val="annotation reference"/>
    <w:basedOn w:val="a0"/>
    <w:uiPriority w:val="99"/>
    <w:semiHidden/>
    <w:unhideWhenUsed/>
    <w:rsid w:val="00922B23"/>
    <w:rPr>
      <w:sz w:val="21"/>
      <w:szCs w:val="21"/>
    </w:rPr>
  </w:style>
  <w:style w:type="paragraph" w:styleId="affb">
    <w:name w:val="annotation subject"/>
    <w:basedOn w:val="af8"/>
    <w:next w:val="af8"/>
    <w:link w:val="affc"/>
    <w:uiPriority w:val="99"/>
    <w:semiHidden/>
    <w:unhideWhenUsed/>
    <w:rsid w:val="00922B23"/>
    <w:pPr>
      <w:ind w:firstLine="200"/>
      <w:jc w:val="left"/>
    </w:pPr>
    <w:rPr>
      <w:b/>
      <w:bCs/>
      <w:kern w:val="2"/>
      <w:sz w:val="21"/>
      <w:szCs w:val="21"/>
    </w:rPr>
  </w:style>
  <w:style w:type="character" w:customStyle="1" w:styleId="affc">
    <w:name w:val="批注主题 字符"/>
    <w:basedOn w:val="af9"/>
    <w:link w:val="affb"/>
    <w:uiPriority w:val="99"/>
    <w:semiHidden/>
    <w:rsid w:val="00922B23"/>
    <w:rPr>
      <w:rFonts w:eastAsia="Times New Roman"/>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850</Words>
  <Characters>4846</Characters>
  <Application>Microsoft Office Word</Application>
  <DocSecurity>0</DocSecurity>
  <Lines>40</Lines>
  <Paragraphs>11</Paragraphs>
  <ScaleCrop>false</ScaleCrop>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Alaa M. Eldehna</dc:creator>
  <cp:lastModifiedBy>Daisy</cp:lastModifiedBy>
  <cp:revision>13</cp:revision>
  <dcterms:created xsi:type="dcterms:W3CDTF">2026-05-29T13:55:00Z</dcterms:created>
  <dcterms:modified xsi:type="dcterms:W3CDTF">2026-07-20T06:24:00Z</dcterms:modified>
</cp:coreProperties>
</file>